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1DD" w:themeColor="accent3" w:themeTint="33"/>
  <w:body>
    <w:p w:rsidR="00A4174F" w:rsidRPr="00C34F1D" w:rsidRDefault="00B863E8" w:rsidP="00A4174F">
      <w:pPr>
        <w:pStyle w:val="NoSpacing"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C34F1D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OBEZITATEA ȘI SUPRAPONDE</w:t>
      </w:r>
      <w:r w:rsidR="00A4174F" w:rsidRPr="00C34F1D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R</w:t>
      </w:r>
      <w:r w:rsidRPr="00C34F1D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A</w:t>
      </w:r>
      <w:r w:rsidR="00A4174F" w:rsidRPr="00C34F1D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LITATEA</w:t>
      </w:r>
    </w:p>
    <w:p w:rsidR="00A4174F" w:rsidRPr="00A4174F" w:rsidRDefault="00A4174F" w:rsidP="00A4174F">
      <w:pPr>
        <w:pStyle w:val="NoSpacing"/>
        <w:jc w:val="center"/>
        <w:rPr>
          <w:rFonts w:ascii="Times New Roman" w:hAnsi="Times New Roman" w:cs="Times New Roman"/>
          <w:b/>
          <w:color w:val="0070C0"/>
        </w:rPr>
      </w:pPr>
    </w:p>
    <w:p w:rsidR="00F742F8" w:rsidRPr="00BE756A" w:rsidRDefault="00F742F8" w:rsidP="00BE756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CB1EAE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  <w:lang w:val="ro-RO"/>
        </w:rPr>
        <w:t>Supraponderalitatea și obezitatea</w:t>
      </w:r>
      <w:r w:rsidRPr="00BE756A">
        <w:rPr>
          <w:rFonts w:ascii="Times New Roman" w:hAnsi="Times New Roman" w:cs="Times New Roman"/>
          <w:sz w:val="24"/>
          <w:szCs w:val="24"/>
          <w:lang w:val="ro-RO"/>
        </w:rPr>
        <w:t xml:space="preserve"> reprezintă acumularea anormală sau în exces a grăsimii în organism, cu efecte asupra stării de sănătate. </w:t>
      </w:r>
    </w:p>
    <w:p w:rsidR="00F742F8" w:rsidRPr="00BE756A" w:rsidRDefault="00F742F8" w:rsidP="00BE756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CB1EAE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  <w:lang w:val="ro-RO"/>
        </w:rPr>
        <w:t>Indicele de masă corporală(IMC)</w:t>
      </w:r>
      <w:r w:rsidRPr="00BE756A">
        <w:rPr>
          <w:rFonts w:ascii="Times New Roman" w:hAnsi="Times New Roman" w:cs="Times New Roman"/>
          <w:sz w:val="24"/>
          <w:szCs w:val="24"/>
          <w:lang w:val="ro-RO"/>
        </w:rPr>
        <w:t xml:space="preserve"> este cea mai utilizată metodă pentru a clasifica </w:t>
      </w:r>
      <w:r w:rsidR="001261C6" w:rsidRPr="00BE756A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BE756A">
        <w:rPr>
          <w:rFonts w:ascii="Times New Roman" w:hAnsi="Times New Roman" w:cs="Times New Roman"/>
          <w:sz w:val="24"/>
          <w:szCs w:val="24"/>
          <w:lang w:val="ro-RO"/>
        </w:rPr>
        <w:t>upraponderalitatea si obezitatea la adulți, astfel:</w:t>
      </w:r>
    </w:p>
    <w:p w:rsidR="00F742F8" w:rsidRPr="00BE756A" w:rsidRDefault="00F742F8" w:rsidP="004E07FC">
      <w:pPr>
        <w:pStyle w:val="NoSpacing"/>
        <w:numPr>
          <w:ilvl w:val="0"/>
          <w:numId w:val="10"/>
        </w:numPr>
        <w:rPr>
          <w:rStyle w:val="tlid-translation"/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E756A">
        <w:rPr>
          <w:rStyle w:val="tlid-translation"/>
          <w:rFonts w:ascii="Times New Roman" w:hAnsi="Times New Roman" w:cs="Times New Roman"/>
          <w:sz w:val="24"/>
          <w:szCs w:val="24"/>
        </w:rPr>
        <w:t>supraponderalitate</w:t>
      </w:r>
      <w:proofErr w:type="spellEnd"/>
      <w:r w:rsidRPr="00BE756A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6A">
        <w:rPr>
          <w:rStyle w:val="tlid-translation"/>
          <w:rFonts w:ascii="Times New Roman" w:hAnsi="Times New Roman" w:cs="Times New Roman"/>
          <w:sz w:val="24"/>
          <w:szCs w:val="24"/>
        </w:rPr>
        <w:t>când</w:t>
      </w:r>
      <w:proofErr w:type="spellEnd"/>
      <w:r w:rsidRPr="00BE756A">
        <w:rPr>
          <w:rStyle w:val="tlid-translation"/>
          <w:rFonts w:ascii="Times New Roman" w:hAnsi="Times New Roman" w:cs="Times New Roman"/>
          <w:sz w:val="24"/>
          <w:szCs w:val="24"/>
        </w:rPr>
        <w:t xml:space="preserve"> IMC ≥ 25; </w:t>
      </w:r>
    </w:p>
    <w:p w:rsidR="00AF37F9" w:rsidRPr="00BE756A" w:rsidRDefault="00F742F8" w:rsidP="004E07F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proofErr w:type="gramStart"/>
      <w:r w:rsidRPr="00BE756A">
        <w:rPr>
          <w:rStyle w:val="tlid-translation"/>
          <w:rFonts w:ascii="Times New Roman" w:hAnsi="Times New Roman" w:cs="Times New Roman"/>
          <w:sz w:val="24"/>
          <w:szCs w:val="24"/>
        </w:rPr>
        <w:t>obezitate</w:t>
      </w:r>
      <w:proofErr w:type="spellEnd"/>
      <w:proofErr w:type="gramEnd"/>
      <w:r w:rsidRPr="00BE756A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56A">
        <w:rPr>
          <w:rStyle w:val="tlid-translation"/>
          <w:rFonts w:ascii="Times New Roman" w:hAnsi="Times New Roman" w:cs="Times New Roman"/>
          <w:sz w:val="24"/>
          <w:szCs w:val="24"/>
        </w:rPr>
        <w:t>când</w:t>
      </w:r>
      <w:proofErr w:type="spellEnd"/>
      <w:r w:rsidRPr="00BE756A">
        <w:rPr>
          <w:rStyle w:val="tlid-translation"/>
          <w:rFonts w:ascii="Times New Roman" w:hAnsi="Times New Roman" w:cs="Times New Roman"/>
          <w:sz w:val="24"/>
          <w:szCs w:val="24"/>
        </w:rPr>
        <w:t xml:space="preserve"> IMC ≥ 30.</w:t>
      </w:r>
    </w:p>
    <w:p w:rsidR="00AF37F9" w:rsidRPr="00BE756A" w:rsidRDefault="00AF37F9" w:rsidP="00F742F8">
      <w:pPr>
        <w:pStyle w:val="NoSpacing"/>
        <w:rPr>
          <w:sz w:val="16"/>
          <w:szCs w:val="24"/>
        </w:rPr>
      </w:pPr>
    </w:p>
    <w:p w:rsidR="00AF37F9" w:rsidRDefault="00AA1532" w:rsidP="00BE756A">
      <w:pPr>
        <w:jc w:val="center"/>
        <w:rPr>
          <w:sz w:val="2"/>
        </w:rPr>
      </w:pPr>
      <w:r>
        <w:rPr>
          <w:sz w:val="2"/>
        </w:rPr>
        <w:pict>
          <v:shape id="_x0000_i1025" type="#_x0000_t75" style="width:169.8pt;height:119.35pt">
            <v:imagedata r:id="rId6" o:title="Untitled-5"/>
          </v:shape>
        </w:pict>
      </w:r>
    </w:p>
    <w:p w:rsidR="00A4174F" w:rsidRDefault="00F94DA0" w:rsidP="002E389A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proofErr w:type="spellStart"/>
      <w:r w:rsidRPr="00F94DA0">
        <w:rPr>
          <w:rFonts w:ascii="Times New Roman" w:hAnsi="Times New Roman" w:cs="Times New Roman"/>
          <w:sz w:val="24"/>
          <w:szCs w:val="24"/>
        </w:rPr>
        <w:t>Principala</w:t>
      </w:r>
      <w:proofErr w:type="spellEnd"/>
      <w:r w:rsidRPr="00F94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A0">
        <w:rPr>
          <w:rFonts w:ascii="Times New Roman" w:hAnsi="Times New Roman" w:cs="Times New Roman"/>
          <w:sz w:val="24"/>
          <w:szCs w:val="24"/>
        </w:rPr>
        <w:t>cauză</w:t>
      </w:r>
      <w:proofErr w:type="spellEnd"/>
      <w:r w:rsidRPr="00F94DA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94DA0">
        <w:rPr>
          <w:rFonts w:ascii="Times New Roman" w:hAnsi="Times New Roman" w:cs="Times New Roman"/>
          <w:sz w:val="24"/>
          <w:szCs w:val="24"/>
        </w:rPr>
        <w:t>supraponderalității</w:t>
      </w:r>
      <w:proofErr w:type="spellEnd"/>
      <w:r w:rsidRPr="00F94DA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94DA0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F94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A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94DA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94DA0">
        <w:rPr>
          <w:rFonts w:ascii="Times New Roman" w:hAnsi="Times New Roman" w:cs="Times New Roman"/>
          <w:sz w:val="24"/>
          <w:szCs w:val="24"/>
        </w:rPr>
        <w:t>obezității</w:t>
      </w:r>
      <w:proofErr w:type="spellEnd"/>
      <w:r w:rsidRPr="00F94DA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94DA0">
        <w:rPr>
          <w:rFonts w:ascii="Times New Roman" w:hAnsi="Times New Roman" w:cs="Times New Roman"/>
          <w:sz w:val="24"/>
          <w:szCs w:val="24"/>
        </w:rPr>
        <w:t>adulți</w:t>
      </w:r>
      <w:proofErr w:type="spellEnd"/>
      <w:r w:rsidRPr="00F94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4DA0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F94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A0"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r w:rsidRPr="00F94D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94DA0">
        <w:rPr>
          <w:rFonts w:ascii="Times New Roman" w:hAnsi="Times New Roman" w:cs="Times New Roman"/>
          <w:sz w:val="24"/>
          <w:szCs w:val="24"/>
        </w:rPr>
        <w:t>dezechilibrul</w:t>
      </w:r>
      <w:proofErr w:type="spellEnd"/>
      <w:r w:rsidRPr="00F94DA0">
        <w:rPr>
          <w:rFonts w:ascii="Times New Roman" w:hAnsi="Times New Roman" w:cs="Times New Roman"/>
          <w:sz w:val="24"/>
          <w:szCs w:val="24"/>
        </w:rPr>
        <w:t xml:space="preserve"> energetic </w:t>
      </w:r>
      <w:proofErr w:type="spellStart"/>
      <w:r w:rsidRPr="00F94DA0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F94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A0">
        <w:rPr>
          <w:rFonts w:ascii="Times New Roman" w:hAnsi="Times New Roman" w:cs="Times New Roman"/>
          <w:sz w:val="24"/>
          <w:szCs w:val="24"/>
        </w:rPr>
        <w:t>aportul</w:t>
      </w:r>
      <w:proofErr w:type="spellEnd"/>
      <w:r w:rsidRPr="00F94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A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94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A0">
        <w:rPr>
          <w:rFonts w:ascii="Times New Roman" w:hAnsi="Times New Roman" w:cs="Times New Roman"/>
          <w:sz w:val="24"/>
          <w:szCs w:val="24"/>
        </w:rPr>
        <w:t>consumul</w:t>
      </w:r>
      <w:proofErr w:type="spellEnd"/>
      <w:r w:rsidRPr="00F94D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94DA0">
        <w:rPr>
          <w:rFonts w:ascii="Times New Roman" w:hAnsi="Times New Roman" w:cs="Times New Roman"/>
          <w:sz w:val="24"/>
          <w:szCs w:val="24"/>
        </w:rPr>
        <w:t>calorii</w:t>
      </w:r>
      <w:proofErr w:type="spellEnd"/>
      <w:r w:rsidRPr="00F94DA0">
        <w:rPr>
          <w:rFonts w:ascii="Times New Roman" w:hAnsi="Times New Roman" w:cs="Times New Roman"/>
          <w:sz w:val="24"/>
          <w:szCs w:val="24"/>
        </w:rPr>
        <w:t>.</w:t>
      </w:r>
      <w:r w:rsidR="006E4725" w:rsidRPr="006E472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E1309" w:rsidRPr="00A4174F" w:rsidRDefault="00AA1532" w:rsidP="00BF5B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i1026" type="#_x0000_t75" style="width:247.2pt;height:189.85pt">
            <v:imagedata r:id="rId7" o:title="Untitled-2"/>
          </v:shape>
        </w:pict>
      </w:r>
    </w:p>
    <w:p w:rsidR="00877CB2" w:rsidRPr="00C34F1D" w:rsidRDefault="00877CB2" w:rsidP="00877CB2">
      <w:pPr>
        <w:pStyle w:val="NoSpacing"/>
        <w:jc w:val="center"/>
        <w:rPr>
          <w:rFonts w:ascii="Times New Roman" w:hAnsi="Times New Roman" w:cs="Times New Roman"/>
          <w:b/>
          <w:color w:val="76923C" w:themeColor="accent3" w:themeShade="BF"/>
        </w:rPr>
      </w:pPr>
      <w:r>
        <w:rPr>
          <w:rFonts w:ascii="Times New Roman" w:hAnsi="Times New Roman" w:cs="Times New Roman"/>
          <w:b/>
          <w:color w:val="00B050"/>
        </w:rPr>
        <w:t xml:space="preserve">     </w:t>
      </w:r>
      <w:r w:rsidRPr="00C34F1D">
        <w:rPr>
          <w:rFonts w:ascii="Times New Roman" w:hAnsi="Times New Roman" w:cs="Times New Roman"/>
          <w:b/>
          <w:color w:val="76923C" w:themeColor="accent3" w:themeShade="BF"/>
        </w:rPr>
        <w:t>SEMNE ȘI SIMPTOME ASOCIATE CU OBEZITATEA</w:t>
      </w:r>
    </w:p>
    <w:p w:rsidR="002E389A" w:rsidRDefault="002E389A" w:rsidP="002E38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CB2" w:rsidRPr="00803DA2" w:rsidRDefault="00877CB2" w:rsidP="002E38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DA2">
        <w:rPr>
          <w:rFonts w:ascii="Times New Roman" w:hAnsi="Times New Roman" w:cs="Times New Roman"/>
          <w:sz w:val="24"/>
          <w:szCs w:val="24"/>
        </w:rPr>
        <w:t>Simptomele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A2">
        <w:rPr>
          <w:rFonts w:ascii="Times New Roman" w:hAnsi="Times New Roman" w:cs="Times New Roman"/>
          <w:sz w:val="24"/>
          <w:szCs w:val="24"/>
        </w:rPr>
        <w:t>obezității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803DA2">
        <w:rPr>
          <w:rFonts w:ascii="Times New Roman" w:hAnsi="Times New Roman" w:cs="Times New Roman"/>
          <w:sz w:val="24"/>
          <w:szCs w:val="24"/>
        </w:rPr>
        <w:t>varia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A2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03DA2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A2">
        <w:rPr>
          <w:rFonts w:ascii="Times New Roman" w:hAnsi="Times New Roman" w:cs="Times New Roman"/>
          <w:sz w:val="24"/>
          <w:szCs w:val="24"/>
        </w:rPr>
        <w:t>afectată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DA2">
        <w:rPr>
          <w:rFonts w:ascii="Times New Roman" w:hAnsi="Times New Roman" w:cs="Times New Roman"/>
          <w:sz w:val="24"/>
          <w:szCs w:val="24"/>
        </w:rPr>
        <w:t>Principalele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A2">
        <w:rPr>
          <w:rFonts w:ascii="Times New Roman" w:hAnsi="Times New Roman" w:cs="Times New Roman"/>
          <w:sz w:val="24"/>
          <w:szCs w:val="24"/>
        </w:rPr>
        <w:t>semne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A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A2">
        <w:rPr>
          <w:rFonts w:ascii="Times New Roman" w:hAnsi="Times New Roman" w:cs="Times New Roman"/>
          <w:sz w:val="24"/>
          <w:szCs w:val="24"/>
        </w:rPr>
        <w:t>simptome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A2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A2">
        <w:rPr>
          <w:rFonts w:ascii="Times New Roman" w:hAnsi="Times New Roman" w:cs="Times New Roman"/>
          <w:sz w:val="24"/>
          <w:szCs w:val="24"/>
        </w:rPr>
        <w:t>asociate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03DA2">
        <w:rPr>
          <w:rFonts w:ascii="Times New Roman" w:hAnsi="Times New Roman" w:cs="Times New Roman"/>
          <w:sz w:val="24"/>
          <w:szCs w:val="24"/>
        </w:rPr>
        <w:t>obezitatea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A2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>:</w:t>
      </w:r>
    </w:p>
    <w:p w:rsidR="00877CB2" w:rsidRPr="00803DA2" w:rsidRDefault="00877CB2" w:rsidP="002E389A">
      <w:pPr>
        <w:pStyle w:val="ListParagraph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803DA2">
        <w:rPr>
          <w:rFonts w:ascii="Times New Roman" w:hAnsi="Times New Roman" w:cs="Times New Roman"/>
          <w:sz w:val="24"/>
          <w:szCs w:val="24"/>
        </w:rPr>
        <w:t>Greutate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A2">
        <w:rPr>
          <w:rFonts w:ascii="Times New Roman" w:hAnsi="Times New Roman" w:cs="Times New Roman"/>
          <w:sz w:val="24"/>
          <w:szCs w:val="24"/>
        </w:rPr>
        <w:t>corporală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A2">
        <w:rPr>
          <w:rFonts w:ascii="Times New Roman" w:hAnsi="Times New Roman" w:cs="Times New Roman"/>
          <w:sz w:val="24"/>
          <w:szCs w:val="24"/>
        </w:rPr>
        <w:t>crescută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803DA2">
        <w:rPr>
          <w:rFonts w:ascii="Times New Roman" w:hAnsi="Times New Roman" w:cs="Times New Roman"/>
          <w:sz w:val="24"/>
          <w:szCs w:val="24"/>
        </w:rPr>
        <w:t>indice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 xml:space="preserve"> de masa </w:t>
      </w:r>
      <w:proofErr w:type="spellStart"/>
      <w:r w:rsidRPr="00803DA2">
        <w:rPr>
          <w:rFonts w:ascii="Times New Roman" w:hAnsi="Times New Roman" w:cs="Times New Roman"/>
          <w:sz w:val="24"/>
          <w:szCs w:val="24"/>
        </w:rPr>
        <w:t>corporală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 xml:space="preserve"> (IMC</w:t>
      </w:r>
      <w:r w:rsidRPr="00803DA2">
        <w:rPr>
          <w:rStyle w:val="tlid-translation"/>
          <w:rFonts w:ascii="Times New Roman" w:hAnsi="Times New Roman" w:cs="Times New Roman"/>
          <w:sz w:val="24"/>
          <w:szCs w:val="24"/>
        </w:rPr>
        <w:t>) ≥ 30</w:t>
      </w:r>
    </w:p>
    <w:p w:rsidR="00877CB2" w:rsidRPr="00803DA2" w:rsidRDefault="00877CB2" w:rsidP="002E389A">
      <w:pPr>
        <w:pStyle w:val="ListParagraph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03DA2">
        <w:rPr>
          <w:rFonts w:ascii="Times New Roman" w:hAnsi="Times New Roman" w:cs="Times New Roman"/>
          <w:sz w:val="24"/>
          <w:szCs w:val="24"/>
        </w:rPr>
        <w:t xml:space="preserve">Stare de </w:t>
      </w:r>
      <w:proofErr w:type="spellStart"/>
      <w:r w:rsidRPr="00803DA2">
        <w:rPr>
          <w:rFonts w:ascii="Times New Roman" w:hAnsi="Times New Roman" w:cs="Times New Roman"/>
          <w:sz w:val="24"/>
          <w:szCs w:val="24"/>
        </w:rPr>
        <w:t>letargie</w:t>
      </w:r>
      <w:proofErr w:type="spellEnd"/>
    </w:p>
    <w:p w:rsidR="00877CB2" w:rsidRPr="00803DA2" w:rsidRDefault="00877CB2" w:rsidP="002E389A">
      <w:pPr>
        <w:pStyle w:val="ListParagraph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803DA2">
        <w:rPr>
          <w:rFonts w:ascii="Times New Roman" w:hAnsi="Times New Roman" w:cs="Times New Roman"/>
          <w:sz w:val="24"/>
          <w:szCs w:val="24"/>
        </w:rPr>
        <w:t>Dificultăți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A2">
        <w:rPr>
          <w:rFonts w:ascii="Times New Roman" w:hAnsi="Times New Roman" w:cs="Times New Roman"/>
          <w:sz w:val="24"/>
          <w:szCs w:val="24"/>
        </w:rPr>
        <w:t>respirație</w:t>
      </w:r>
      <w:proofErr w:type="spellEnd"/>
      <w:r w:rsidR="00E10BE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10BE3">
        <w:rPr>
          <w:rFonts w:ascii="Times New Roman" w:hAnsi="Times New Roman" w:cs="Times New Roman"/>
          <w:sz w:val="24"/>
          <w:szCs w:val="24"/>
        </w:rPr>
        <w:t>apnee</w:t>
      </w:r>
      <w:proofErr w:type="spellEnd"/>
      <w:r w:rsidR="00E10BE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10BE3">
        <w:rPr>
          <w:rFonts w:ascii="Times New Roman" w:hAnsi="Times New Roman" w:cs="Times New Roman"/>
          <w:sz w:val="24"/>
          <w:szCs w:val="24"/>
        </w:rPr>
        <w:t>somn</w:t>
      </w:r>
      <w:proofErr w:type="spellEnd"/>
    </w:p>
    <w:p w:rsidR="00877CB2" w:rsidRPr="00803DA2" w:rsidRDefault="00877CB2" w:rsidP="002E389A">
      <w:pPr>
        <w:pStyle w:val="ListParagraph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03DA2">
        <w:rPr>
          <w:rFonts w:ascii="Times New Roman" w:hAnsi="Times New Roman" w:cs="Times New Roman"/>
          <w:sz w:val="24"/>
          <w:szCs w:val="24"/>
        </w:rPr>
        <w:t xml:space="preserve">Strat </w:t>
      </w:r>
      <w:proofErr w:type="spellStart"/>
      <w:r w:rsidRPr="00803DA2">
        <w:rPr>
          <w:rFonts w:ascii="Times New Roman" w:hAnsi="Times New Roman" w:cs="Times New Roman"/>
          <w:sz w:val="24"/>
          <w:szCs w:val="24"/>
        </w:rPr>
        <w:t>adipos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A2">
        <w:rPr>
          <w:rFonts w:ascii="Times New Roman" w:hAnsi="Times New Roman" w:cs="Times New Roman"/>
          <w:sz w:val="24"/>
          <w:szCs w:val="24"/>
        </w:rPr>
        <w:t>flasc</w:t>
      </w:r>
      <w:proofErr w:type="spellEnd"/>
    </w:p>
    <w:p w:rsidR="00877CB2" w:rsidRPr="00803DA2" w:rsidRDefault="00877CB2" w:rsidP="002E389A">
      <w:pPr>
        <w:pStyle w:val="ListParagraph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803DA2">
        <w:rPr>
          <w:rFonts w:ascii="Times New Roman" w:hAnsi="Times New Roman" w:cs="Times New Roman"/>
          <w:sz w:val="24"/>
          <w:szCs w:val="24"/>
        </w:rPr>
        <w:t>Apariția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timpurie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pubertății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adolescenți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>)</w:t>
      </w:r>
    </w:p>
    <w:p w:rsidR="00877CB2" w:rsidRDefault="00877CB2" w:rsidP="002E389A">
      <w:pPr>
        <w:pStyle w:val="ListParagraph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803DA2">
        <w:rPr>
          <w:rFonts w:ascii="Times New Roman" w:hAnsi="Times New Roman" w:cs="Times New Roman"/>
          <w:sz w:val="24"/>
          <w:szCs w:val="24"/>
        </w:rPr>
        <w:t>Creșterea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A2">
        <w:rPr>
          <w:rFonts w:ascii="Times New Roman" w:hAnsi="Times New Roman" w:cs="Times New Roman"/>
          <w:sz w:val="24"/>
          <w:szCs w:val="24"/>
        </w:rPr>
        <w:t>volum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03DA2">
        <w:rPr>
          <w:rFonts w:ascii="Times New Roman" w:hAnsi="Times New Roman" w:cs="Times New Roman"/>
          <w:sz w:val="24"/>
          <w:szCs w:val="24"/>
        </w:rPr>
        <w:t>grăsimii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A2">
        <w:rPr>
          <w:rFonts w:ascii="Times New Roman" w:hAnsi="Times New Roman" w:cs="Times New Roman"/>
          <w:sz w:val="24"/>
          <w:szCs w:val="24"/>
        </w:rPr>
        <w:t>abdominale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 xml:space="preserve"> (cu </w:t>
      </w:r>
      <w:proofErr w:type="spellStart"/>
      <w:r w:rsidRPr="00803DA2">
        <w:rPr>
          <w:rFonts w:ascii="Times New Roman" w:hAnsi="Times New Roman" w:cs="Times New Roman"/>
          <w:sz w:val="24"/>
          <w:szCs w:val="24"/>
        </w:rPr>
        <w:t>apariția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803DA2">
        <w:rPr>
          <w:rFonts w:ascii="Times New Roman" w:hAnsi="Times New Roman" w:cs="Times New Roman"/>
          <w:sz w:val="24"/>
          <w:szCs w:val="24"/>
        </w:rPr>
        <w:t>pete</w:t>
      </w:r>
      <w:proofErr w:type="spellEnd"/>
      <w:proofErr w:type="gramEnd"/>
      <w:r w:rsidRPr="0080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A2">
        <w:rPr>
          <w:rFonts w:ascii="Times New Roman" w:hAnsi="Times New Roman" w:cs="Times New Roman"/>
          <w:sz w:val="24"/>
          <w:szCs w:val="24"/>
        </w:rPr>
        <w:t>albe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DA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03DA2">
        <w:rPr>
          <w:rFonts w:ascii="Times New Roman" w:hAnsi="Times New Roman" w:cs="Times New Roman"/>
          <w:sz w:val="24"/>
          <w:szCs w:val="24"/>
        </w:rPr>
        <w:t xml:space="preserve"> violet)</w:t>
      </w:r>
      <w:r w:rsidR="00C10557">
        <w:rPr>
          <w:rFonts w:ascii="Times New Roman" w:hAnsi="Times New Roman" w:cs="Times New Roman"/>
          <w:sz w:val="24"/>
          <w:szCs w:val="24"/>
        </w:rPr>
        <w:t xml:space="preserve">. Un </w:t>
      </w:r>
      <w:proofErr w:type="spellStart"/>
      <w:r w:rsidR="00C10557">
        <w:rPr>
          <w:rFonts w:ascii="Times New Roman" w:hAnsi="Times New Roman" w:cs="Times New Roman"/>
          <w:sz w:val="24"/>
          <w:szCs w:val="24"/>
        </w:rPr>
        <w:t>raport-talie</w:t>
      </w:r>
      <w:proofErr w:type="spellEnd"/>
      <w:r w:rsidR="00C10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57">
        <w:rPr>
          <w:rFonts w:ascii="Times New Roman" w:hAnsi="Times New Roman" w:cs="Times New Roman"/>
          <w:sz w:val="24"/>
          <w:szCs w:val="24"/>
        </w:rPr>
        <w:t>circumferin</w:t>
      </w:r>
      <w:proofErr w:type="spellEnd"/>
      <w:r w:rsidR="00C10557">
        <w:rPr>
          <w:rFonts w:ascii="Times New Roman" w:hAnsi="Times New Roman" w:cs="Times New Roman"/>
          <w:sz w:val="24"/>
          <w:szCs w:val="24"/>
          <w:lang w:val="ro-RO"/>
        </w:rPr>
        <w:t>ță (WHR)</w:t>
      </w:r>
      <w:r w:rsidR="009771DB">
        <w:rPr>
          <w:rFonts w:ascii="Times New Roman" w:hAnsi="Times New Roman" w:cs="Times New Roman"/>
          <w:sz w:val="24"/>
          <w:szCs w:val="24"/>
          <w:lang w:val="ro-RO"/>
        </w:rPr>
        <w:t>&gt;1 la băbați și &gt;0.85 la femei indică acumularea de grăsime abdominală</w:t>
      </w:r>
      <w:r w:rsidR="00C1055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107B6" w:rsidRPr="00997CEC" w:rsidRDefault="00997CEC" w:rsidP="002E389A">
      <w:pPr>
        <w:pStyle w:val="ListParagraph"/>
        <w:numPr>
          <w:ilvl w:val="0"/>
          <w:numId w:val="12"/>
        </w:numPr>
        <w:ind w:left="426"/>
      </w:pPr>
      <w:proofErr w:type="spellStart"/>
      <w:r>
        <w:rPr>
          <w:rFonts w:ascii="Times New Roman" w:hAnsi="Times New Roman" w:cs="Times New Roman"/>
          <w:sz w:val="24"/>
          <w:szCs w:val="24"/>
        </w:rPr>
        <w:t>Dureri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osteoarticulare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(spate,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articulații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97CEC" w:rsidRPr="007E1309" w:rsidRDefault="00997CEC" w:rsidP="002E389A">
      <w:pPr>
        <w:pStyle w:val="ListParagraph"/>
        <w:numPr>
          <w:ilvl w:val="0"/>
          <w:numId w:val="12"/>
        </w:numPr>
        <w:ind w:left="426"/>
      </w:pPr>
      <w:r>
        <w:rPr>
          <w:rFonts w:ascii="Times New Roman" w:hAnsi="Times New Roman" w:cs="Times New Roman"/>
          <w:sz w:val="24"/>
          <w:szCs w:val="24"/>
        </w:rPr>
        <w:t xml:space="preserve">Capacitate </w:t>
      </w:r>
      <w:proofErr w:type="spellStart"/>
      <w:r>
        <w:rPr>
          <w:rFonts w:ascii="Times New Roman" w:hAnsi="Times New Roman" w:cs="Times New Roman"/>
          <w:sz w:val="24"/>
          <w:szCs w:val="24"/>
        </w:rPr>
        <w:t>scăzută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67A25">
        <w:rPr>
          <w:rFonts w:ascii="Times New Roman" w:hAnsi="Times New Roman" w:cs="Times New Roman"/>
          <w:sz w:val="24"/>
          <w:szCs w:val="24"/>
        </w:rPr>
        <w:t>ef</w:t>
      </w:r>
      <w:r w:rsidR="007E1309">
        <w:rPr>
          <w:rFonts w:ascii="Times New Roman" w:hAnsi="Times New Roman" w:cs="Times New Roman"/>
          <w:sz w:val="24"/>
          <w:szCs w:val="24"/>
        </w:rPr>
        <w:t>ort</w:t>
      </w:r>
      <w:proofErr w:type="spellEnd"/>
    </w:p>
    <w:p w:rsidR="00CC6C3C" w:rsidRPr="00CC6C3C" w:rsidRDefault="00CC6C3C" w:rsidP="00CC6C3C">
      <w:pPr>
        <w:pStyle w:val="ListParagraph"/>
        <w:rPr>
          <w:sz w:val="8"/>
        </w:rPr>
      </w:pPr>
    </w:p>
    <w:p w:rsidR="0012246A" w:rsidRDefault="0012246A" w:rsidP="001067E5">
      <w:pPr>
        <w:pStyle w:val="NoSpacing"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BBB59" w:themeColor="accent3"/>
          <w:sz w:val="20"/>
        </w:rPr>
        <w:drawing>
          <wp:inline distT="0" distB="0" distL="0" distR="0">
            <wp:extent cx="2660496" cy="2568271"/>
            <wp:effectExtent l="0" t="0" r="6985" b="3810"/>
            <wp:docPr id="6" name="Picture 6" descr="C:\Users\Cristina\AppData\Local\Microsoft\Windows\INetCache\Content.Word\measure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Cristina\AppData\Local\Microsoft\Windows\INetCache\Content.Word\measure-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463" cy="256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46A" w:rsidRDefault="0012246A" w:rsidP="001067E5">
      <w:pPr>
        <w:pStyle w:val="NoSpacing"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BE756A" w:rsidRPr="00C34F1D" w:rsidRDefault="001067E5" w:rsidP="001067E5">
      <w:pPr>
        <w:pStyle w:val="NoSpacing"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C34F1D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FACTORI DE RISC PENTRU </w:t>
      </w:r>
      <w:r w:rsidR="00B863E8" w:rsidRPr="00C34F1D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APARIȚIA OBEZITĂȚII</w:t>
      </w:r>
    </w:p>
    <w:p w:rsidR="00570677" w:rsidRPr="00C34F1D" w:rsidRDefault="00570677" w:rsidP="001067E5">
      <w:pPr>
        <w:pStyle w:val="NoSpacing"/>
        <w:jc w:val="center"/>
        <w:rPr>
          <w:rFonts w:ascii="Times New Roman" w:hAnsi="Times New Roman" w:cs="Times New Roman"/>
          <w:b/>
          <w:color w:val="76923C" w:themeColor="accent3" w:themeShade="BF"/>
          <w:sz w:val="20"/>
        </w:rPr>
      </w:pPr>
    </w:p>
    <w:p w:rsidR="00BE756A" w:rsidRPr="002E389A" w:rsidRDefault="00BE756A" w:rsidP="002E389A">
      <w:pPr>
        <w:pStyle w:val="NoSpacing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E389A">
        <w:rPr>
          <w:rFonts w:ascii="Times New Roman" w:hAnsi="Times New Roman" w:cs="Times New Roman"/>
          <w:b/>
          <w:bCs/>
          <w:color w:val="E36C0A" w:themeColor="accent6" w:themeShade="BF"/>
          <w:spacing w:val="-6"/>
          <w:sz w:val="24"/>
          <w:szCs w:val="24"/>
          <w:lang w:val="ro-RO"/>
        </w:rPr>
        <w:t xml:space="preserve">Stilul de viață </w:t>
      </w:r>
      <w:r w:rsidR="00DE4C6B" w:rsidRPr="002E389A">
        <w:rPr>
          <w:rFonts w:ascii="Times New Roman" w:hAnsi="Times New Roman" w:cs="Times New Roman"/>
          <w:b/>
          <w:bCs/>
          <w:color w:val="E36C0A" w:themeColor="accent6" w:themeShade="BF"/>
          <w:spacing w:val="-6"/>
          <w:sz w:val="24"/>
          <w:szCs w:val="24"/>
          <w:lang w:val="ro-RO"/>
        </w:rPr>
        <w:t>familial</w:t>
      </w:r>
      <w:r w:rsidR="00DE4C6B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-</w:t>
      </w:r>
      <w:r w:rsidR="00101E6D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Obezitatea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tinde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să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apară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în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ac</w:t>
      </w:r>
      <w:r w:rsidR="00280137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e</w:t>
      </w:r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eași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familie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.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Dacă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unul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sau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ambii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părinți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sunt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obezi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,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riscul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pentru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apariția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obezității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este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crescut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, din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cauza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genelor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, </w:t>
      </w:r>
      <w:proofErr w:type="spellStart"/>
      <w:r w:rsidR="00280137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și</w:t>
      </w:r>
      <w:proofErr w:type="spellEnd"/>
      <w:r w:rsidR="00280137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a</w:t>
      </w:r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="00280137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280137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tendinței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de a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împărtăși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obiceiuri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alimentare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și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de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stiluri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de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viață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similar</w:t>
      </w:r>
      <w:r w:rsidR="002345CA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;</w:t>
      </w:r>
    </w:p>
    <w:p w:rsidR="00BE756A" w:rsidRPr="002E389A" w:rsidRDefault="00280137" w:rsidP="002E389A">
      <w:pPr>
        <w:pStyle w:val="NoSpacing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E389A">
        <w:rPr>
          <w:rFonts w:ascii="Times New Roman" w:hAnsi="Times New Roman" w:cs="Times New Roman"/>
          <w:b/>
          <w:bCs/>
          <w:color w:val="E36C0A" w:themeColor="accent6" w:themeShade="BF"/>
          <w:spacing w:val="-6"/>
          <w:sz w:val="24"/>
          <w:szCs w:val="24"/>
          <w:lang w:val="ro-RO"/>
        </w:rPr>
        <w:t>Inactivitatea fizică</w:t>
      </w:r>
      <w:r w:rsidR="009B3923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-</w:t>
      </w:r>
      <w:r w:rsidR="00101E6D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Un </w:t>
      </w:r>
      <w:proofErr w:type="spellStart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>stil</w:t>
      </w:r>
      <w:proofErr w:type="spellEnd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de </w:t>
      </w:r>
      <w:proofErr w:type="spellStart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>viață</w:t>
      </w:r>
      <w:proofErr w:type="spellEnd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9B3923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sedentar</w:t>
      </w:r>
      <w:proofErr w:type="spellEnd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nu </w:t>
      </w:r>
      <w:proofErr w:type="spellStart"/>
      <w:r w:rsidR="009B3923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facilitează</w:t>
      </w:r>
      <w:proofErr w:type="spellEnd"/>
      <w:r w:rsidR="009B3923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9B3923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arderea</w:t>
      </w:r>
      <w:proofErr w:type="spellEnd"/>
      <w:r w:rsidR="009B3923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9B3923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multor</w:t>
      </w:r>
      <w:proofErr w:type="spellEnd"/>
      <w:r w:rsidR="009B3923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9B3923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calorii</w:t>
      </w:r>
      <w:proofErr w:type="spellEnd"/>
      <w:r w:rsidR="002345CA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;</w:t>
      </w:r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BE756A" w:rsidRPr="002E389A" w:rsidRDefault="00BE756A" w:rsidP="002E389A">
      <w:pPr>
        <w:pStyle w:val="NoSpacing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E389A">
        <w:rPr>
          <w:rFonts w:ascii="Times New Roman" w:hAnsi="Times New Roman" w:cs="Times New Roman"/>
          <w:b/>
          <w:bCs/>
          <w:color w:val="E36C0A" w:themeColor="accent6" w:themeShade="BF"/>
          <w:spacing w:val="-6"/>
          <w:sz w:val="24"/>
          <w:szCs w:val="24"/>
          <w:lang w:val="ro-RO"/>
        </w:rPr>
        <w:t>Dieta nesănătoasă</w:t>
      </w:r>
      <w:r w:rsidRPr="002E389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, </w:t>
      </w:r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de ex. </w:t>
      </w:r>
      <w:proofErr w:type="spellStart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>alimente</w:t>
      </w:r>
      <w:proofErr w:type="spellEnd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tip fast-food </w:t>
      </w:r>
      <w:proofErr w:type="spellStart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>și</w:t>
      </w:r>
      <w:proofErr w:type="spellEnd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>băuturi</w:t>
      </w:r>
      <w:proofErr w:type="spellEnd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>hipercalorice</w:t>
      </w:r>
      <w:proofErr w:type="spellEnd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, cu </w:t>
      </w:r>
      <w:proofErr w:type="spellStart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>porții</w:t>
      </w:r>
      <w:proofErr w:type="spellEnd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>supradimensionate</w:t>
      </w:r>
      <w:proofErr w:type="spellEnd"/>
    </w:p>
    <w:p w:rsidR="00280137" w:rsidRPr="002E389A" w:rsidRDefault="00BE756A" w:rsidP="002E389A">
      <w:pPr>
        <w:pStyle w:val="NoSpacing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E389A">
        <w:rPr>
          <w:rFonts w:ascii="Times New Roman" w:hAnsi="Times New Roman" w:cs="Times New Roman"/>
          <w:b/>
          <w:bCs/>
          <w:color w:val="E36C0A" w:themeColor="accent6" w:themeShade="BF"/>
          <w:spacing w:val="-6"/>
          <w:sz w:val="24"/>
          <w:szCs w:val="24"/>
          <w:lang w:val="ro-RO"/>
        </w:rPr>
        <w:t>Genetica</w:t>
      </w:r>
      <w:r w:rsidR="00101E6D" w:rsidRPr="002E389A">
        <w:rPr>
          <w:rFonts w:ascii="Times New Roman" w:hAnsi="Times New Roman" w:cs="Times New Roman"/>
          <w:b/>
          <w:bCs/>
          <w:color w:val="E36C0A" w:themeColor="accent6" w:themeShade="BF"/>
          <w:spacing w:val="-6"/>
          <w:sz w:val="24"/>
          <w:szCs w:val="24"/>
          <w:lang w:val="ro-RO"/>
        </w:rPr>
        <w:t xml:space="preserve"> </w:t>
      </w:r>
      <w:r w:rsidR="00101E6D" w:rsidRPr="002E389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-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Genele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controlează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cantitatea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modul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de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distribuire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a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grăsimii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de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rezervă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,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și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influențe</w:t>
      </w:r>
      <w:r w:rsidR="00280137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a</w:t>
      </w:r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ză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metabolismul</w:t>
      </w:r>
      <w:proofErr w:type="spellEnd"/>
      <w:r w:rsidR="009D29B1"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energetic</w:t>
      </w:r>
      <w:r w:rsidR="002345CA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;</w:t>
      </w:r>
    </w:p>
    <w:p w:rsidR="00BE756A" w:rsidRPr="002E389A" w:rsidRDefault="00BE756A" w:rsidP="002E389A">
      <w:pPr>
        <w:pStyle w:val="NoSpacing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E389A">
        <w:rPr>
          <w:rFonts w:ascii="Times New Roman" w:hAnsi="Times New Roman" w:cs="Times New Roman"/>
          <w:b/>
          <w:bCs/>
          <w:color w:val="E36C0A" w:themeColor="accent6" w:themeShade="BF"/>
          <w:spacing w:val="-6"/>
          <w:sz w:val="24"/>
          <w:szCs w:val="24"/>
          <w:lang w:val="ro-RO"/>
        </w:rPr>
        <w:t>Unele condiții medicale</w:t>
      </w:r>
      <w:r w:rsidRPr="002E389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101E6D"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- </w:t>
      </w:r>
      <w:proofErr w:type="spellStart"/>
      <w:r w:rsidRPr="002E389A">
        <w:rPr>
          <w:rFonts w:ascii="Times New Roman" w:hAnsi="Times New Roman" w:cs="Times New Roman"/>
          <w:spacing w:val="-6"/>
          <w:sz w:val="24"/>
          <w:szCs w:val="24"/>
        </w:rPr>
        <w:t>sindromul</w:t>
      </w:r>
      <w:proofErr w:type="spellEnd"/>
      <w:r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spacing w:val="-6"/>
          <w:sz w:val="24"/>
          <w:szCs w:val="24"/>
        </w:rPr>
        <w:t>Prade</w:t>
      </w:r>
      <w:r w:rsidR="00101E6D" w:rsidRPr="002E389A">
        <w:rPr>
          <w:rFonts w:ascii="Times New Roman" w:hAnsi="Times New Roman" w:cs="Times New Roman"/>
          <w:spacing w:val="-6"/>
          <w:sz w:val="24"/>
          <w:szCs w:val="24"/>
        </w:rPr>
        <w:t>r</w:t>
      </w:r>
      <w:proofErr w:type="spellEnd"/>
      <w:r w:rsidR="00101E6D"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-Willi, </w:t>
      </w:r>
      <w:proofErr w:type="spellStart"/>
      <w:r w:rsidR="00101E6D" w:rsidRPr="002E389A">
        <w:rPr>
          <w:rFonts w:ascii="Times New Roman" w:hAnsi="Times New Roman" w:cs="Times New Roman"/>
          <w:spacing w:val="-6"/>
          <w:sz w:val="24"/>
          <w:szCs w:val="24"/>
        </w:rPr>
        <w:t>sindromul</w:t>
      </w:r>
      <w:proofErr w:type="spellEnd"/>
      <w:r w:rsidR="00101E6D"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Cushing etc.</w:t>
      </w:r>
      <w:r w:rsidR="002345CA" w:rsidRPr="002E389A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BE756A" w:rsidRPr="002E389A" w:rsidRDefault="00B863E8" w:rsidP="002E389A">
      <w:pPr>
        <w:pStyle w:val="NoSpacing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E389A">
        <w:rPr>
          <w:rFonts w:ascii="Times New Roman" w:hAnsi="Times New Roman" w:cs="Times New Roman"/>
          <w:b/>
          <w:bCs/>
          <w:color w:val="E36C0A" w:themeColor="accent6" w:themeShade="BF"/>
          <w:spacing w:val="-6"/>
          <w:sz w:val="24"/>
          <w:szCs w:val="24"/>
          <w:lang w:val="ro-RO"/>
        </w:rPr>
        <w:t>M</w:t>
      </w:r>
      <w:r w:rsidRPr="002E389A">
        <w:rPr>
          <w:rFonts w:ascii="Times New Roman" w:hAnsi="Times New Roman" w:cs="Times New Roman"/>
          <w:b/>
          <w:bCs/>
          <w:color w:val="E36C0A" w:themeColor="accent6" w:themeShade="BF"/>
          <w:spacing w:val="-8"/>
          <w:sz w:val="24"/>
          <w:szCs w:val="24"/>
          <w:lang w:val="ro-RO"/>
        </w:rPr>
        <w:t>edicația</w:t>
      </w:r>
      <w:r w:rsidR="00101E6D" w:rsidRPr="002E389A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- </w:t>
      </w:r>
      <w:proofErr w:type="spellStart"/>
      <w:r w:rsidR="00280137" w:rsidRPr="002E389A">
        <w:rPr>
          <w:rFonts w:ascii="Times New Roman" w:hAnsi="Times New Roman" w:cs="Times New Roman"/>
          <w:bCs/>
          <w:spacing w:val="-8"/>
          <w:sz w:val="24"/>
          <w:szCs w:val="24"/>
        </w:rPr>
        <w:t>unele</w:t>
      </w:r>
      <w:proofErr w:type="spellEnd"/>
      <w:r w:rsidR="00280137" w:rsidRPr="002E389A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proofErr w:type="spellStart"/>
      <w:r w:rsidR="00280137" w:rsidRPr="002E389A">
        <w:rPr>
          <w:rFonts w:ascii="Times New Roman" w:hAnsi="Times New Roman" w:cs="Times New Roman"/>
          <w:bCs/>
          <w:spacing w:val="-8"/>
          <w:sz w:val="24"/>
          <w:szCs w:val="24"/>
        </w:rPr>
        <w:t>medicamente</w:t>
      </w:r>
      <w:proofErr w:type="spellEnd"/>
      <w:r w:rsidR="00280137" w:rsidRPr="002E389A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pot duce la </w:t>
      </w:r>
      <w:proofErr w:type="spellStart"/>
      <w:r w:rsidR="00280137" w:rsidRPr="002E389A">
        <w:rPr>
          <w:rFonts w:ascii="Times New Roman" w:hAnsi="Times New Roman" w:cs="Times New Roman"/>
          <w:bCs/>
          <w:spacing w:val="-8"/>
          <w:sz w:val="24"/>
          <w:szCs w:val="24"/>
        </w:rPr>
        <w:t>creșterea</w:t>
      </w:r>
      <w:proofErr w:type="spellEnd"/>
      <w:r w:rsidR="00280137" w:rsidRPr="002E389A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proofErr w:type="spellStart"/>
      <w:r w:rsidR="00280137" w:rsidRPr="002E389A">
        <w:rPr>
          <w:rFonts w:ascii="Times New Roman" w:hAnsi="Times New Roman" w:cs="Times New Roman"/>
          <w:bCs/>
          <w:spacing w:val="-8"/>
          <w:sz w:val="24"/>
          <w:szCs w:val="24"/>
        </w:rPr>
        <w:t>în</w:t>
      </w:r>
      <w:proofErr w:type="spellEnd"/>
      <w:r w:rsidR="00280137" w:rsidRPr="002E389A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proofErr w:type="spellStart"/>
      <w:r w:rsidR="00280137" w:rsidRPr="002E389A">
        <w:rPr>
          <w:rFonts w:ascii="Times New Roman" w:hAnsi="Times New Roman" w:cs="Times New Roman"/>
          <w:bCs/>
          <w:spacing w:val="-8"/>
          <w:sz w:val="24"/>
          <w:szCs w:val="24"/>
        </w:rPr>
        <w:t>greutate</w:t>
      </w:r>
      <w:proofErr w:type="spellEnd"/>
      <w:r w:rsidR="00280137" w:rsidRPr="002E389A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, </w:t>
      </w:r>
      <w:proofErr w:type="spellStart"/>
      <w:r w:rsidR="00280137" w:rsidRPr="002E389A">
        <w:rPr>
          <w:rFonts w:ascii="Times New Roman" w:hAnsi="Times New Roman" w:cs="Times New Roman"/>
          <w:bCs/>
          <w:spacing w:val="-8"/>
          <w:sz w:val="24"/>
          <w:szCs w:val="24"/>
        </w:rPr>
        <w:t>daca</w:t>
      </w:r>
      <w:proofErr w:type="spellEnd"/>
      <w:r w:rsidR="00280137" w:rsidRPr="002E389A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proofErr w:type="spellStart"/>
      <w:r w:rsidR="00280137" w:rsidRPr="002E389A">
        <w:rPr>
          <w:rFonts w:ascii="Times New Roman" w:hAnsi="Times New Roman" w:cs="Times New Roman"/>
          <w:bCs/>
          <w:spacing w:val="-8"/>
          <w:sz w:val="24"/>
          <w:szCs w:val="24"/>
        </w:rPr>
        <w:t>acest</w:t>
      </w:r>
      <w:proofErr w:type="spellEnd"/>
      <w:r w:rsidR="00280137" w:rsidRPr="002E389A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proofErr w:type="spellStart"/>
      <w:r w:rsidR="00280137" w:rsidRPr="002E389A">
        <w:rPr>
          <w:rFonts w:ascii="Times New Roman" w:hAnsi="Times New Roman" w:cs="Times New Roman"/>
          <w:bCs/>
          <w:spacing w:val="-8"/>
          <w:sz w:val="24"/>
          <w:szCs w:val="24"/>
        </w:rPr>
        <w:t>lucru</w:t>
      </w:r>
      <w:proofErr w:type="spellEnd"/>
      <w:r w:rsidR="00280137" w:rsidRPr="002E389A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nu </w:t>
      </w:r>
      <w:proofErr w:type="spellStart"/>
      <w:r w:rsidR="00280137" w:rsidRPr="002E389A">
        <w:rPr>
          <w:rFonts w:ascii="Times New Roman" w:hAnsi="Times New Roman" w:cs="Times New Roman"/>
          <w:bCs/>
          <w:spacing w:val="-8"/>
          <w:sz w:val="24"/>
          <w:szCs w:val="24"/>
        </w:rPr>
        <w:t>este</w:t>
      </w:r>
      <w:proofErr w:type="spellEnd"/>
      <w:r w:rsidR="00280137" w:rsidRPr="002E389A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compensate </w:t>
      </w:r>
      <w:proofErr w:type="spellStart"/>
      <w:r w:rsidR="00280137" w:rsidRPr="002E389A">
        <w:rPr>
          <w:rFonts w:ascii="Times New Roman" w:hAnsi="Times New Roman" w:cs="Times New Roman"/>
          <w:bCs/>
          <w:spacing w:val="-8"/>
          <w:sz w:val="24"/>
          <w:szCs w:val="24"/>
        </w:rPr>
        <w:t>printr</w:t>
      </w:r>
      <w:proofErr w:type="spellEnd"/>
      <w:r w:rsidR="00280137" w:rsidRPr="002E389A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-o </w:t>
      </w:r>
      <w:proofErr w:type="spellStart"/>
      <w:r w:rsidR="00280137" w:rsidRPr="002E389A">
        <w:rPr>
          <w:rFonts w:ascii="Times New Roman" w:hAnsi="Times New Roman" w:cs="Times New Roman"/>
          <w:bCs/>
          <w:spacing w:val="-8"/>
          <w:sz w:val="24"/>
          <w:szCs w:val="24"/>
        </w:rPr>
        <w:t>dietă</w:t>
      </w:r>
      <w:proofErr w:type="spellEnd"/>
      <w:r w:rsidR="00280137" w:rsidRPr="002E389A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proofErr w:type="spellStart"/>
      <w:r w:rsidR="00280137" w:rsidRPr="002E389A">
        <w:rPr>
          <w:rFonts w:ascii="Times New Roman" w:hAnsi="Times New Roman" w:cs="Times New Roman"/>
          <w:bCs/>
          <w:spacing w:val="-8"/>
          <w:sz w:val="24"/>
          <w:szCs w:val="24"/>
        </w:rPr>
        <w:t>echilibrată</w:t>
      </w:r>
      <w:proofErr w:type="spellEnd"/>
      <w:r w:rsidR="00280137" w:rsidRPr="002E389A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proofErr w:type="spellStart"/>
      <w:r w:rsidR="00280137" w:rsidRPr="002E389A">
        <w:rPr>
          <w:rFonts w:ascii="Times New Roman" w:hAnsi="Times New Roman" w:cs="Times New Roman"/>
          <w:bCs/>
          <w:spacing w:val="-8"/>
          <w:sz w:val="24"/>
          <w:szCs w:val="24"/>
        </w:rPr>
        <w:t>și</w:t>
      </w:r>
      <w:proofErr w:type="spellEnd"/>
      <w:r w:rsidR="00280137" w:rsidRPr="002E389A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proofErr w:type="spellStart"/>
      <w:r w:rsidR="00280137" w:rsidRPr="002E389A">
        <w:rPr>
          <w:rFonts w:ascii="Times New Roman" w:hAnsi="Times New Roman" w:cs="Times New Roman"/>
          <w:bCs/>
          <w:spacing w:val="-8"/>
          <w:sz w:val="24"/>
          <w:szCs w:val="24"/>
        </w:rPr>
        <w:t>activitate</w:t>
      </w:r>
      <w:proofErr w:type="spellEnd"/>
      <w:r w:rsidR="00280137" w:rsidRPr="002E389A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proofErr w:type="spellStart"/>
      <w:r w:rsidR="00280137" w:rsidRPr="002E389A">
        <w:rPr>
          <w:rFonts w:ascii="Times New Roman" w:hAnsi="Times New Roman" w:cs="Times New Roman"/>
          <w:bCs/>
          <w:spacing w:val="-8"/>
          <w:sz w:val="24"/>
          <w:szCs w:val="24"/>
        </w:rPr>
        <w:t>fizică</w:t>
      </w:r>
      <w:proofErr w:type="spellEnd"/>
      <w:r w:rsidR="002345CA" w:rsidRPr="002E389A">
        <w:rPr>
          <w:rFonts w:ascii="Times New Roman" w:hAnsi="Times New Roman" w:cs="Times New Roman"/>
          <w:bCs/>
          <w:spacing w:val="-8"/>
          <w:sz w:val="24"/>
          <w:szCs w:val="24"/>
        </w:rPr>
        <w:t>;</w:t>
      </w:r>
    </w:p>
    <w:p w:rsidR="00BE756A" w:rsidRPr="002E389A" w:rsidRDefault="00BE756A" w:rsidP="002E389A">
      <w:pPr>
        <w:pStyle w:val="NoSpacing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E389A">
        <w:rPr>
          <w:rFonts w:ascii="Times New Roman" w:hAnsi="Times New Roman" w:cs="Times New Roman"/>
          <w:b/>
          <w:bCs/>
          <w:color w:val="E36C0A" w:themeColor="accent6" w:themeShade="BF"/>
          <w:spacing w:val="-8"/>
          <w:sz w:val="24"/>
          <w:szCs w:val="24"/>
          <w:lang w:val="ro-RO"/>
        </w:rPr>
        <w:t>Vârsta</w:t>
      </w:r>
      <w:r w:rsidRPr="002E389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01E6D" w:rsidRPr="002E389A">
        <w:rPr>
          <w:rFonts w:ascii="Times New Roman" w:hAnsi="Times New Roman" w:cs="Times New Roman"/>
          <w:spacing w:val="-8"/>
          <w:sz w:val="24"/>
          <w:szCs w:val="24"/>
        </w:rPr>
        <w:t>(</w:t>
      </w:r>
      <w:proofErr w:type="spellStart"/>
      <w:r w:rsidRPr="002E389A">
        <w:rPr>
          <w:rFonts w:ascii="Times New Roman" w:hAnsi="Times New Roman" w:cs="Times New Roman"/>
          <w:spacing w:val="-8"/>
          <w:sz w:val="24"/>
          <w:szCs w:val="24"/>
        </w:rPr>
        <w:t>înaintarea</w:t>
      </w:r>
      <w:proofErr w:type="spellEnd"/>
      <w:r w:rsidRPr="002E389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spacing w:val="-8"/>
          <w:sz w:val="24"/>
          <w:szCs w:val="24"/>
        </w:rPr>
        <w:t>în</w:t>
      </w:r>
      <w:proofErr w:type="spellEnd"/>
      <w:r w:rsidRPr="002E389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spacing w:val="-8"/>
          <w:sz w:val="24"/>
          <w:szCs w:val="24"/>
        </w:rPr>
        <w:t>vârstă</w:t>
      </w:r>
      <w:proofErr w:type="spellEnd"/>
      <w:r w:rsidRPr="002E389A">
        <w:rPr>
          <w:rFonts w:ascii="Times New Roman" w:hAnsi="Times New Roman" w:cs="Times New Roman"/>
          <w:spacing w:val="-8"/>
          <w:sz w:val="24"/>
          <w:szCs w:val="24"/>
        </w:rPr>
        <w:t>)</w:t>
      </w:r>
      <w:r w:rsidR="002345CA" w:rsidRPr="002E389A">
        <w:rPr>
          <w:rFonts w:ascii="Times New Roman" w:hAnsi="Times New Roman" w:cs="Times New Roman"/>
          <w:spacing w:val="-8"/>
          <w:sz w:val="24"/>
          <w:szCs w:val="24"/>
        </w:rPr>
        <w:t>;</w:t>
      </w:r>
    </w:p>
    <w:p w:rsidR="00BE756A" w:rsidRPr="002E389A" w:rsidRDefault="00BE756A" w:rsidP="002E389A">
      <w:pPr>
        <w:pStyle w:val="NoSpacing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E389A">
        <w:rPr>
          <w:rFonts w:ascii="Times New Roman" w:hAnsi="Times New Roman" w:cs="Times New Roman"/>
          <w:b/>
          <w:bCs/>
          <w:color w:val="E36C0A" w:themeColor="accent6" w:themeShade="BF"/>
          <w:spacing w:val="-8"/>
          <w:sz w:val="24"/>
          <w:szCs w:val="24"/>
          <w:lang w:val="ro-RO"/>
        </w:rPr>
        <w:t>Lipsa de somn sau excesul lui</w:t>
      </w:r>
      <w:r w:rsidRPr="002E389A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9B3923" w:rsidRPr="002E389A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– </w:t>
      </w:r>
      <w:r w:rsidR="009B3923" w:rsidRPr="002E389A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pot </w:t>
      </w:r>
      <w:proofErr w:type="spellStart"/>
      <w:r w:rsidR="009B3923" w:rsidRPr="002E389A">
        <w:rPr>
          <w:rFonts w:ascii="Times New Roman" w:hAnsi="Times New Roman" w:cs="Times New Roman"/>
          <w:bCs/>
          <w:spacing w:val="-8"/>
          <w:sz w:val="24"/>
          <w:szCs w:val="24"/>
        </w:rPr>
        <w:t>determina</w:t>
      </w:r>
      <w:proofErr w:type="spellEnd"/>
      <w:r w:rsidR="009B3923" w:rsidRPr="002E389A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proofErr w:type="spellStart"/>
      <w:r w:rsidR="009B3923" w:rsidRPr="002E389A">
        <w:rPr>
          <w:rFonts w:ascii="Times New Roman" w:hAnsi="Times New Roman" w:cs="Times New Roman"/>
          <w:bCs/>
          <w:spacing w:val="-8"/>
          <w:sz w:val="24"/>
          <w:szCs w:val="24"/>
        </w:rPr>
        <w:t>schimbări</w:t>
      </w:r>
      <w:proofErr w:type="spellEnd"/>
      <w:r w:rsidR="009B3923" w:rsidRPr="002E389A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proofErr w:type="spellStart"/>
      <w:r w:rsidR="009B3923" w:rsidRPr="002E389A">
        <w:rPr>
          <w:rFonts w:ascii="Times New Roman" w:hAnsi="Times New Roman" w:cs="Times New Roman"/>
          <w:bCs/>
          <w:spacing w:val="-8"/>
          <w:sz w:val="24"/>
          <w:szCs w:val="24"/>
        </w:rPr>
        <w:t>hormonale</w:t>
      </w:r>
      <w:proofErr w:type="spellEnd"/>
      <w:r w:rsidR="009B3923" w:rsidRPr="002E389A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proofErr w:type="spellStart"/>
      <w:r w:rsidR="009B3923" w:rsidRPr="002E389A">
        <w:rPr>
          <w:rFonts w:ascii="Times New Roman" w:hAnsi="Times New Roman" w:cs="Times New Roman"/>
          <w:bCs/>
          <w:spacing w:val="-8"/>
          <w:sz w:val="24"/>
          <w:szCs w:val="24"/>
        </w:rPr>
        <w:t>urmate</w:t>
      </w:r>
      <w:proofErr w:type="spellEnd"/>
      <w:r w:rsidR="009B3923" w:rsidRPr="002E389A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de </w:t>
      </w:r>
      <w:proofErr w:type="spellStart"/>
      <w:r w:rsidR="009B3923" w:rsidRPr="002E389A">
        <w:rPr>
          <w:rFonts w:ascii="Times New Roman" w:hAnsi="Times New Roman" w:cs="Times New Roman"/>
          <w:bCs/>
          <w:spacing w:val="-8"/>
          <w:sz w:val="24"/>
          <w:szCs w:val="24"/>
        </w:rPr>
        <w:t>creșterea</w:t>
      </w:r>
      <w:proofErr w:type="spellEnd"/>
      <w:r w:rsidR="009B3923" w:rsidRPr="002E389A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proofErr w:type="spellStart"/>
      <w:r w:rsidR="009B3923" w:rsidRPr="002E389A">
        <w:rPr>
          <w:rFonts w:ascii="Times New Roman" w:hAnsi="Times New Roman" w:cs="Times New Roman"/>
          <w:bCs/>
          <w:spacing w:val="-8"/>
          <w:sz w:val="24"/>
          <w:szCs w:val="24"/>
        </w:rPr>
        <w:t>apetitului</w:t>
      </w:r>
      <w:proofErr w:type="spellEnd"/>
      <w:r w:rsidR="002345CA" w:rsidRPr="002E389A">
        <w:rPr>
          <w:rFonts w:ascii="Times New Roman" w:hAnsi="Times New Roman" w:cs="Times New Roman"/>
          <w:bCs/>
          <w:spacing w:val="-8"/>
          <w:sz w:val="24"/>
          <w:szCs w:val="24"/>
        </w:rPr>
        <w:t>;</w:t>
      </w:r>
      <w:r w:rsidR="009B3923" w:rsidRPr="002E389A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</w:p>
    <w:p w:rsidR="00A4174F" w:rsidRPr="002E389A" w:rsidRDefault="00DE4C6B" w:rsidP="002E389A">
      <w:pPr>
        <w:pStyle w:val="NoSpacing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2E389A">
        <w:rPr>
          <w:rFonts w:ascii="Times New Roman" w:hAnsi="Times New Roman" w:cs="Times New Roman"/>
          <w:b/>
          <w:bCs/>
          <w:color w:val="E36C0A" w:themeColor="accent6" w:themeShade="BF"/>
          <w:spacing w:val="-6"/>
          <w:sz w:val="24"/>
          <w:szCs w:val="24"/>
          <w:lang w:val="ro-RO"/>
        </w:rPr>
        <w:t>Sarcina</w:t>
      </w:r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– </w:t>
      </w:r>
      <w:proofErr w:type="spellStart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>creșterea</w:t>
      </w:r>
      <w:proofErr w:type="spellEnd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>în</w:t>
      </w:r>
      <w:proofErr w:type="spellEnd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>greutate</w:t>
      </w:r>
      <w:proofErr w:type="spellEnd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din </w:t>
      </w:r>
      <w:proofErr w:type="spellStart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>timpul</w:t>
      </w:r>
      <w:proofErr w:type="spellEnd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>sarcinii</w:t>
      </w:r>
      <w:proofErr w:type="spellEnd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>poate</w:t>
      </w:r>
      <w:proofErr w:type="spellEnd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>contribui</w:t>
      </w:r>
      <w:proofErr w:type="spellEnd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la </w:t>
      </w:r>
      <w:proofErr w:type="spellStart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>dezvoltarea</w:t>
      </w:r>
      <w:proofErr w:type="spellEnd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>obezității</w:t>
      </w:r>
      <w:proofErr w:type="spellEnd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la </w:t>
      </w:r>
      <w:proofErr w:type="spellStart"/>
      <w:r w:rsidRPr="002E389A">
        <w:rPr>
          <w:rFonts w:ascii="Times New Roman" w:hAnsi="Times New Roman" w:cs="Times New Roman"/>
          <w:bCs/>
          <w:spacing w:val="-6"/>
          <w:sz w:val="24"/>
          <w:szCs w:val="24"/>
        </w:rPr>
        <w:t>femei</w:t>
      </w:r>
      <w:proofErr w:type="spellEnd"/>
      <w:r w:rsidR="00E10BE3" w:rsidRPr="002E389A">
        <w:rPr>
          <w:rFonts w:ascii="Times New Roman" w:hAnsi="Times New Roman" w:cs="Times New Roman"/>
          <w:bCs/>
          <w:spacing w:val="-6"/>
          <w:sz w:val="24"/>
          <w:szCs w:val="24"/>
        </w:rPr>
        <w:t>;</w:t>
      </w:r>
    </w:p>
    <w:p w:rsidR="00DE11B2" w:rsidRPr="002E389A" w:rsidRDefault="00AA1532" w:rsidP="002E389A">
      <w:pPr>
        <w:pStyle w:val="NoSpacing"/>
        <w:numPr>
          <w:ilvl w:val="0"/>
          <w:numId w:val="11"/>
        </w:numPr>
        <w:ind w:left="284"/>
        <w:jc w:val="both"/>
        <w:rPr>
          <w:spacing w:val="-8"/>
          <w:sz w:val="24"/>
          <w:szCs w:val="24"/>
        </w:rPr>
      </w:pPr>
      <w:r>
        <w:rPr>
          <w:noProof/>
        </w:rPr>
        <w:pict>
          <v:shape id="_x0000_s1027" type="#_x0000_t75" style="position:absolute;left:0;text-align:left;margin-left:7.9pt;margin-top:11.1pt;width:229.15pt;height:206.3pt;z-index:251664896;mso-position-horizontal-relative:text;mso-position-vertical-relative:text">
            <v:imagedata r:id="rId9" o:title="Untitled-1"/>
          </v:shape>
        </w:pict>
      </w:r>
      <w:r w:rsidR="00E10BE3" w:rsidRPr="002E389A">
        <w:rPr>
          <w:rFonts w:ascii="Times New Roman" w:hAnsi="Times New Roman" w:cs="Times New Roman"/>
          <w:b/>
          <w:bCs/>
          <w:color w:val="E36C0A" w:themeColor="accent6" w:themeShade="BF"/>
          <w:spacing w:val="-6"/>
          <w:sz w:val="24"/>
          <w:szCs w:val="24"/>
          <w:lang w:val="ro-RO"/>
        </w:rPr>
        <w:t>Factori socio-economici</w:t>
      </w:r>
      <w:r w:rsidR="00DE11B2" w:rsidRPr="002E389A">
        <w:rPr>
          <w:rFonts w:ascii="Comic Sans MS" w:hAnsi="Comic Sans MS" w:cs="Times New Roman"/>
          <w:bCs/>
          <w:spacing w:val="-6"/>
          <w:sz w:val="24"/>
          <w:szCs w:val="24"/>
          <w:lang w:val="ro-RO"/>
        </w:rPr>
        <w:t xml:space="preserve">  </w:t>
      </w:r>
      <w:r w:rsidR="00DE11B2" w:rsidRPr="002E389A">
        <w:rPr>
          <w:rFonts w:ascii="Comic Sans MS" w:hAnsi="Comic Sans MS" w:cs="Times New Roman"/>
          <w:bCs/>
          <w:spacing w:val="-8"/>
          <w:sz w:val="24"/>
          <w:szCs w:val="24"/>
          <w:lang w:val="ro-RO"/>
        </w:rPr>
        <w:t xml:space="preserve">  </w:t>
      </w:r>
    </w:p>
    <w:p w:rsidR="00DE11B2" w:rsidRDefault="00DE11B2" w:rsidP="00DE11B2">
      <w:pPr>
        <w:pStyle w:val="NoSpacing"/>
        <w:ind w:left="284"/>
        <w:rPr>
          <w:rFonts w:ascii="Comic Sans MS" w:hAnsi="Comic Sans MS" w:cs="Times New Roman"/>
          <w:bCs/>
          <w:sz w:val="18"/>
          <w:szCs w:val="18"/>
          <w:lang w:val="ro-RO"/>
        </w:rPr>
      </w:pPr>
    </w:p>
    <w:p w:rsidR="00BE756A" w:rsidRDefault="00DE11B2" w:rsidP="00DE11B2">
      <w:pPr>
        <w:pStyle w:val="NoSpacing"/>
        <w:ind w:left="284"/>
      </w:pPr>
      <w:r w:rsidRPr="00DE11B2">
        <w:rPr>
          <w:rFonts w:ascii="Comic Sans MS" w:hAnsi="Comic Sans MS" w:cs="Times New Roman"/>
          <w:bCs/>
          <w:sz w:val="18"/>
          <w:szCs w:val="18"/>
          <w:lang w:val="ro-RO"/>
        </w:rPr>
        <w:t xml:space="preserve">    </w:t>
      </w:r>
    </w:p>
    <w:p w:rsidR="002E389A" w:rsidRDefault="002E389A" w:rsidP="00E5306B">
      <w:pPr>
        <w:jc w:val="center"/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32"/>
        </w:rPr>
      </w:pPr>
    </w:p>
    <w:p w:rsidR="002E389A" w:rsidRDefault="002E389A" w:rsidP="00E5306B">
      <w:pPr>
        <w:jc w:val="center"/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32"/>
        </w:rPr>
      </w:pPr>
    </w:p>
    <w:p w:rsidR="002E389A" w:rsidRDefault="002E389A" w:rsidP="00E5306B">
      <w:pPr>
        <w:jc w:val="center"/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32"/>
        </w:rPr>
      </w:pPr>
      <w:bookmarkStart w:id="0" w:name="_GoBack"/>
      <w:bookmarkEnd w:id="0"/>
    </w:p>
    <w:p w:rsidR="002E389A" w:rsidRDefault="002E389A" w:rsidP="00E5306B">
      <w:pPr>
        <w:jc w:val="center"/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32"/>
        </w:rPr>
      </w:pPr>
    </w:p>
    <w:p w:rsidR="002E389A" w:rsidRDefault="002E389A" w:rsidP="00E5306B">
      <w:pPr>
        <w:jc w:val="center"/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32"/>
        </w:rPr>
      </w:pPr>
    </w:p>
    <w:p w:rsidR="002E389A" w:rsidRDefault="002E389A" w:rsidP="00E5306B">
      <w:pPr>
        <w:jc w:val="center"/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32"/>
        </w:rPr>
      </w:pPr>
    </w:p>
    <w:p w:rsidR="00E5306B" w:rsidRPr="00C34F1D" w:rsidRDefault="00BE756A" w:rsidP="00E5306B">
      <w:pPr>
        <w:jc w:val="center"/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32"/>
        </w:rPr>
      </w:pPr>
      <w:r w:rsidRPr="00C34F1D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32"/>
        </w:rPr>
        <w:lastRenderedPageBreak/>
        <w:t>EFECTELE OBEZITĂȚII ASUPRA STĂRII DE SĂNĂTATE</w:t>
      </w:r>
    </w:p>
    <w:p w:rsidR="00E56E54" w:rsidRPr="002E389A" w:rsidRDefault="00E5306B" w:rsidP="00BE756A">
      <w:pPr>
        <w:pStyle w:val="NoSpacing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2E389A">
        <w:rPr>
          <w:rFonts w:ascii="Times New Roman" w:hAnsi="Times New Roman" w:cs="Times New Roman"/>
          <w:spacing w:val="-6"/>
          <w:sz w:val="24"/>
          <w:szCs w:val="24"/>
        </w:rPr>
        <w:t>Persoanele</w:t>
      </w:r>
      <w:proofErr w:type="spellEnd"/>
      <w:r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care au </w:t>
      </w:r>
      <w:proofErr w:type="spellStart"/>
      <w:r w:rsidRPr="002E389A">
        <w:rPr>
          <w:rFonts w:ascii="Times New Roman" w:hAnsi="Times New Roman" w:cs="Times New Roman"/>
          <w:spacing w:val="-6"/>
          <w:sz w:val="24"/>
          <w:szCs w:val="24"/>
        </w:rPr>
        <w:t>obezitate</w:t>
      </w:r>
      <w:proofErr w:type="spellEnd"/>
      <w:r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2E389A">
        <w:rPr>
          <w:rFonts w:ascii="Times New Roman" w:hAnsi="Times New Roman" w:cs="Times New Roman"/>
          <w:spacing w:val="-6"/>
          <w:sz w:val="24"/>
          <w:szCs w:val="24"/>
        </w:rPr>
        <w:t>comparativ</w:t>
      </w:r>
      <w:proofErr w:type="spellEnd"/>
      <w:r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cu </w:t>
      </w:r>
      <w:proofErr w:type="spellStart"/>
      <w:r w:rsidRPr="002E389A">
        <w:rPr>
          <w:rFonts w:ascii="Times New Roman" w:hAnsi="Times New Roman" w:cs="Times New Roman"/>
          <w:spacing w:val="-6"/>
          <w:sz w:val="24"/>
          <w:szCs w:val="24"/>
        </w:rPr>
        <w:t>cele</w:t>
      </w:r>
      <w:proofErr w:type="spellEnd"/>
      <w:r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cu o </w:t>
      </w:r>
      <w:proofErr w:type="spellStart"/>
      <w:r w:rsidRPr="002E389A">
        <w:rPr>
          <w:rFonts w:ascii="Times New Roman" w:hAnsi="Times New Roman" w:cs="Times New Roman"/>
          <w:spacing w:val="-6"/>
          <w:sz w:val="24"/>
          <w:szCs w:val="24"/>
        </w:rPr>
        <w:t>greutate</w:t>
      </w:r>
      <w:proofErr w:type="spellEnd"/>
      <w:r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spacing w:val="-6"/>
          <w:sz w:val="24"/>
          <w:szCs w:val="24"/>
        </w:rPr>
        <w:t>normală</w:t>
      </w:r>
      <w:proofErr w:type="spellEnd"/>
      <w:r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spacing w:val="-6"/>
          <w:sz w:val="24"/>
          <w:szCs w:val="24"/>
        </w:rPr>
        <w:t>sau</w:t>
      </w:r>
      <w:proofErr w:type="spellEnd"/>
      <w:r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spacing w:val="-6"/>
          <w:sz w:val="24"/>
          <w:szCs w:val="24"/>
        </w:rPr>
        <w:t>sănătoasă</w:t>
      </w:r>
      <w:proofErr w:type="spellEnd"/>
      <w:r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2E389A">
        <w:rPr>
          <w:rFonts w:ascii="Times New Roman" w:hAnsi="Times New Roman" w:cs="Times New Roman"/>
          <w:spacing w:val="-6"/>
          <w:sz w:val="24"/>
          <w:szCs w:val="24"/>
        </w:rPr>
        <w:t>prezintă</w:t>
      </w:r>
      <w:proofErr w:type="spellEnd"/>
      <w:r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2E389A">
        <w:rPr>
          <w:rFonts w:ascii="Times New Roman" w:hAnsi="Times New Roman" w:cs="Times New Roman"/>
          <w:spacing w:val="-6"/>
          <w:sz w:val="24"/>
          <w:szCs w:val="24"/>
        </w:rPr>
        <w:t>un</w:t>
      </w:r>
      <w:proofErr w:type="gramEnd"/>
      <w:r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spacing w:val="-6"/>
          <w:sz w:val="24"/>
          <w:szCs w:val="24"/>
        </w:rPr>
        <w:t>risc</w:t>
      </w:r>
      <w:proofErr w:type="spellEnd"/>
      <w:r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spacing w:val="-6"/>
          <w:sz w:val="24"/>
          <w:szCs w:val="24"/>
        </w:rPr>
        <w:t>crescut</w:t>
      </w:r>
      <w:proofErr w:type="spellEnd"/>
      <w:r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spacing w:val="-6"/>
          <w:sz w:val="24"/>
          <w:szCs w:val="24"/>
        </w:rPr>
        <w:t>pentru</w:t>
      </w:r>
      <w:proofErr w:type="spellEnd"/>
      <w:r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spacing w:val="-6"/>
          <w:sz w:val="24"/>
          <w:szCs w:val="24"/>
        </w:rPr>
        <w:t>multe</w:t>
      </w:r>
      <w:proofErr w:type="spellEnd"/>
      <w:r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spacing w:val="-6"/>
          <w:sz w:val="24"/>
          <w:szCs w:val="24"/>
        </w:rPr>
        <w:t>boli</w:t>
      </w:r>
      <w:proofErr w:type="spellEnd"/>
      <w:r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grave </w:t>
      </w:r>
      <w:proofErr w:type="spellStart"/>
      <w:r w:rsidRPr="002E389A">
        <w:rPr>
          <w:rFonts w:ascii="Times New Roman" w:hAnsi="Times New Roman" w:cs="Times New Roman"/>
          <w:spacing w:val="-6"/>
          <w:sz w:val="24"/>
          <w:szCs w:val="24"/>
        </w:rPr>
        <w:t>și</w:t>
      </w:r>
      <w:proofErr w:type="spellEnd"/>
      <w:r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spacing w:val="-6"/>
          <w:sz w:val="24"/>
          <w:szCs w:val="24"/>
        </w:rPr>
        <w:t>condiții</w:t>
      </w:r>
      <w:proofErr w:type="spellEnd"/>
      <w:r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de </w:t>
      </w:r>
      <w:proofErr w:type="spellStart"/>
      <w:r w:rsidRPr="002E389A">
        <w:rPr>
          <w:rFonts w:ascii="Times New Roman" w:hAnsi="Times New Roman" w:cs="Times New Roman"/>
          <w:spacing w:val="-6"/>
          <w:sz w:val="24"/>
          <w:szCs w:val="24"/>
        </w:rPr>
        <w:t>sănătate</w:t>
      </w:r>
      <w:proofErr w:type="spellEnd"/>
      <w:r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C72ABE" w:rsidRPr="002E389A">
        <w:rPr>
          <w:rFonts w:ascii="Times New Roman" w:hAnsi="Times New Roman" w:cs="Times New Roman"/>
          <w:spacing w:val="-6"/>
          <w:sz w:val="24"/>
          <w:szCs w:val="24"/>
        </w:rPr>
        <w:t>precum</w:t>
      </w:r>
      <w:proofErr w:type="spellEnd"/>
      <w:r w:rsidRPr="002E389A">
        <w:rPr>
          <w:rFonts w:ascii="Times New Roman" w:hAnsi="Times New Roman" w:cs="Times New Roman"/>
          <w:spacing w:val="-6"/>
          <w:sz w:val="24"/>
          <w:szCs w:val="24"/>
        </w:rPr>
        <w:t>:</w:t>
      </w:r>
    </w:p>
    <w:p w:rsidR="00522890" w:rsidRPr="002E389A" w:rsidRDefault="00522890" w:rsidP="00BE756A">
      <w:pPr>
        <w:pStyle w:val="NoSpacing"/>
        <w:rPr>
          <w:rFonts w:ascii="Times New Roman" w:hAnsi="Times New Roman" w:cs="Times New Roman"/>
          <w:spacing w:val="-6"/>
          <w:sz w:val="24"/>
          <w:szCs w:val="24"/>
        </w:rPr>
      </w:pPr>
    </w:p>
    <w:p w:rsidR="00997CEC" w:rsidRPr="002E389A" w:rsidRDefault="00997CEC" w:rsidP="002E389A">
      <w:pPr>
        <w:pStyle w:val="NoSpacing"/>
        <w:numPr>
          <w:ilvl w:val="0"/>
          <w:numId w:val="9"/>
        </w:numPr>
        <w:ind w:left="284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Hiper</w:t>
      </w:r>
      <w:r w:rsidR="00E5306B"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ensiune</w:t>
      </w:r>
      <w:proofErr w:type="spellEnd"/>
      <w:r w:rsidR="00E5306B"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 xml:space="preserve"> </w:t>
      </w:r>
      <w:proofErr w:type="spellStart"/>
      <w:r w:rsidR="00E5306B"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arterială</w:t>
      </w:r>
      <w:proofErr w:type="spellEnd"/>
      <w:r w:rsidR="00E5306B"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 xml:space="preserve"> </w:t>
      </w:r>
    </w:p>
    <w:p w:rsidR="00E56E54" w:rsidRPr="002E389A" w:rsidRDefault="00E5306B" w:rsidP="002E389A">
      <w:pPr>
        <w:pStyle w:val="NoSpacing"/>
        <w:numPr>
          <w:ilvl w:val="0"/>
          <w:numId w:val="9"/>
        </w:numPr>
        <w:ind w:left="284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Hipercolesterolemie</w:t>
      </w:r>
      <w:proofErr w:type="spellEnd"/>
      <w:r w:rsidR="00E56E54"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cu </w:t>
      </w:r>
      <w:r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LDL </w:t>
      </w:r>
      <w:proofErr w:type="spellStart"/>
      <w:r w:rsidR="00E56E54" w:rsidRPr="002E389A">
        <w:rPr>
          <w:rFonts w:ascii="Times New Roman" w:hAnsi="Times New Roman" w:cs="Times New Roman"/>
          <w:spacing w:val="-6"/>
          <w:sz w:val="24"/>
          <w:szCs w:val="24"/>
        </w:rPr>
        <w:t>crescut</w:t>
      </w:r>
      <w:proofErr w:type="spellEnd"/>
      <w:r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E56E54"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HDL </w:t>
      </w:r>
      <w:proofErr w:type="spellStart"/>
      <w:r w:rsidR="00E56E54" w:rsidRPr="002E389A">
        <w:rPr>
          <w:rFonts w:ascii="Times New Roman" w:hAnsi="Times New Roman" w:cs="Times New Roman"/>
          <w:spacing w:val="-6"/>
          <w:sz w:val="24"/>
          <w:szCs w:val="24"/>
        </w:rPr>
        <w:t>scăzut</w:t>
      </w:r>
      <w:proofErr w:type="spellEnd"/>
      <w:r w:rsidR="00E56E54"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E56E54" w:rsidRPr="002E389A">
        <w:rPr>
          <w:rFonts w:ascii="Times New Roman" w:hAnsi="Times New Roman" w:cs="Times New Roman"/>
          <w:spacing w:val="-6"/>
          <w:sz w:val="24"/>
          <w:szCs w:val="24"/>
        </w:rPr>
        <w:t>sau</w:t>
      </w:r>
      <w:proofErr w:type="spellEnd"/>
      <w:r w:rsidR="00E56E54"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E56E54" w:rsidRPr="002E389A">
        <w:rPr>
          <w:rFonts w:ascii="Times New Roman" w:hAnsi="Times New Roman" w:cs="Times New Roman"/>
          <w:spacing w:val="-6"/>
          <w:sz w:val="24"/>
          <w:szCs w:val="24"/>
        </w:rPr>
        <w:t>niveluri</w:t>
      </w:r>
      <w:proofErr w:type="spellEnd"/>
      <w:r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spacing w:val="-6"/>
          <w:sz w:val="24"/>
          <w:szCs w:val="24"/>
        </w:rPr>
        <w:t>ridicate</w:t>
      </w:r>
      <w:proofErr w:type="spellEnd"/>
      <w:r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de </w:t>
      </w:r>
      <w:proofErr w:type="spellStart"/>
      <w:r w:rsidRPr="002E389A">
        <w:rPr>
          <w:rFonts w:ascii="Times New Roman" w:hAnsi="Times New Roman" w:cs="Times New Roman"/>
          <w:spacing w:val="-6"/>
          <w:sz w:val="24"/>
          <w:szCs w:val="24"/>
        </w:rPr>
        <w:t>trigliceride</w:t>
      </w:r>
      <w:proofErr w:type="spellEnd"/>
      <w:r w:rsidR="00E56E54"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proofErr w:type="spellStart"/>
      <w:r w:rsidR="00E56E54" w:rsidRPr="002E389A">
        <w:rPr>
          <w:rFonts w:ascii="Times New Roman" w:hAnsi="Times New Roman" w:cs="Times New Roman"/>
          <w:spacing w:val="-6"/>
          <w:sz w:val="24"/>
          <w:szCs w:val="24"/>
        </w:rPr>
        <w:t>dislipidemie</w:t>
      </w:r>
      <w:proofErr w:type="spellEnd"/>
      <w:r w:rsidRPr="002E389A">
        <w:rPr>
          <w:rFonts w:ascii="Times New Roman" w:hAnsi="Times New Roman" w:cs="Times New Roman"/>
          <w:spacing w:val="-6"/>
          <w:sz w:val="24"/>
          <w:szCs w:val="24"/>
        </w:rPr>
        <w:t>)</w:t>
      </w:r>
    </w:p>
    <w:p w:rsidR="00E56E54" w:rsidRPr="002E389A" w:rsidRDefault="00E56E54" w:rsidP="002E389A">
      <w:pPr>
        <w:pStyle w:val="NoSpacing"/>
        <w:numPr>
          <w:ilvl w:val="0"/>
          <w:numId w:val="9"/>
        </w:numPr>
        <w:ind w:left="284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Diabet</w:t>
      </w:r>
      <w:proofErr w:type="spellEnd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zaharat</w:t>
      </w:r>
      <w:proofErr w:type="spellEnd"/>
      <w:r w:rsidR="00E5306B"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de tip 2</w:t>
      </w:r>
    </w:p>
    <w:p w:rsidR="00E56E54" w:rsidRPr="002E389A" w:rsidRDefault="00E56E54" w:rsidP="002E389A">
      <w:pPr>
        <w:pStyle w:val="NoSpacing"/>
        <w:numPr>
          <w:ilvl w:val="0"/>
          <w:numId w:val="9"/>
        </w:numPr>
        <w:ind w:left="284"/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</w:pP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Boli</w:t>
      </w:r>
      <w:proofErr w:type="spellEnd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cardiovasculare</w:t>
      </w:r>
      <w:proofErr w:type="spellEnd"/>
    </w:p>
    <w:p w:rsidR="00E56E54" w:rsidRPr="002E389A" w:rsidRDefault="00E56E54" w:rsidP="002E389A">
      <w:pPr>
        <w:pStyle w:val="NoSpacing"/>
        <w:numPr>
          <w:ilvl w:val="0"/>
          <w:numId w:val="9"/>
        </w:numPr>
        <w:ind w:left="284"/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</w:pP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Steatoza</w:t>
      </w:r>
      <w:proofErr w:type="spellEnd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hepatică</w:t>
      </w:r>
      <w:proofErr w:type="spellEnd"/>
    </w:p>
    <w:p w:rsidR="00E56E54" w:rsidRPr="002E389A" w:rsidRDefault="00E56E54" w:rsidP="002E389A">
      <w:pPr>
        <w:pStyle w:val="NoSpacing"/>
        <w:numPr>
          <w:ilvl w:val="0"/>
          <w:numId w:val="9"/>
        </w:numPr>
        <w:ind w:left="284"/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</w:pP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Afecțiuni</w:t>
      </w:r>
      <w:proofErr w:type="spellEnd"/>
      <w:r w:rsidR="00E5306B"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 xml:space="preserve"> ale </w:t>
      </w:r>
      <w:proofErr w:type="spellStart"/>
      <w:r w:rsidR="00E5306B"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vezicii</w:t>
      </w:r>
      <w:proofErr w:type="spellEnd"/>
      <w:r w:rsidR="00E5306B"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 xml:space="preserve"> </w:t>
      </w:r>
      <w:proofErr w:type="spellStart"/>
      <w:r w:rsidR="00E5306B"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biliare</w:t>
      </w:r>
      <w:proofErr w:type="spellEnd"/>
    </w:p>
    <w:p w:rsidR="00E56E54" w:rsidRPr="002E389A" w:rsidRDefault="00E56E54" w:rsidP="002E389A">
      <w:pPr>
        <w:pStyle w:val="NoSpacing"/>
        <w:numPr>
          <w:ilvl w:val="0"/>
          <w:numId w:val="9"/>
        </w:numPr>
        <w:ind w:left="284"/>
        <w:rPr>
          <w:rFonts w:ascii="Times New Roman" w:hAnsi="Times New Roman" w:cs="Times New Roman"/>
          <w:spacing w:val="-8"/>
          <w:sz w:val="24"/>
          <w:szCs w:val="24"/>
        </w:rPr>
      </w:pP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8"/>
          <w:sz w:val="24"/>
          <w:szCs w:val="24"/>
        </w:rPr>
        <w:t>Afecțiuni</w:t>
      </w:r>
      <w:proofErr w:type="spellEnd"/>
      <w:r w:rsidRPr="002E389A">
        <w:rPr>
          <w:rFonts w:ascii="Times New Roman" w:hAnsi="Times New Roman" w:cs="Times New Roman"/>
          <w:b/>
          <w:color w:val="E36C0A" w:themeColor="accent6" w:themeShade="BF"/>
          <w:spacing w:val="-8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8"/>
          <w:sz w:val="24"/>
          <w:szCs w:val="24"/>
        </w:rPr>
        <w:t>osoase</w:t>
      </w:r>
      <w:proofErr w:type="spellEnd"/>
      <w:r w:rsidRPr="002E389A">
        <w:rPr>
          <w:rFonts w:ascii="Times New Roman" w:hAnsi="Times New Roman" w:cs="Times New Roman"/>
          <w:b/>
          <w:color w:val="E36C0A" w:themeColor="accent6" w:themeShade="BF"/>
          <w:spacing w:val="-8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8"/>
          <w:sz w:val="24"/>
          <w:szCs w:val="24"/>
        </w:rPr>
        <w:t>și</w:t>
      </w:r>
      <w:proofErr w:type="spellEnd"/>
      <w:r w:rsidRPr="002E389A">
        <w:rPr>
          <w:rFonts w:ascii="Times New Roman" w:hAnsi="Times New Roman" w:cs="Times New Roman"/>
          <w:b/>
          <w:color w:val="E36C0A" w:themeColor="accent6" w:themeShade="BF"/>
          <w:spacing w:val="-8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8"/>
          <w:sz w:val="24"/>
          <w:szCs w:val="24"/>
        </w:rPr>
        <w:t>articulare</w:t>
      </w:r>
      <w:proofErr w:type="spellEnd"/>
      <w:r w:rsidRPr="002E389A"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proofErr w:type="spellStart"/>
      <w:r w:rsidR="00E5306B" w:rsidRPr="002E389A">
        <w:rPr>
          <w:rFonts w:ascii="Times New Roman" w:hAnsi="Times New Roman" w:cs="Times New Roman"/>
          <w:spacing w:val="-8"/>
          <w:sz w:val="24"/>
          <w:szCs w:val="24"/>
        </w:rPr>
        <w:t>Osteoartrita</w:t>
      </w:r>
      <w:proofErr w:type="spellEnd"/>
      <w:r w:rsidRPr="002E389A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proofErr w:type="spellStart"/>
      <w:r w:rsidRPr="002E389A">
        <w:rPr>
          <w:rFonts w:ascii="Times New Roman" w:hAnsi="Times New Roman" w:cs="Times New Roman"/>
          <w:spacing w:val="-8"/>
          <w:sz w:val="24"/>
          <w:szCs w:val="24"/>
        </w:rPr>
        <w:t>artroze</w:t>
      </w:r>
      <w:proofErr w:type="spellEnd"/>
      <w:r w:rsidRPr="002E389A">
        <w:rPr>
          <w:rFonts w:ascii="Times New Roman" w:hAnsi="Times New Roman" w:cs="Times New Roman"/>
          <w:spacing w:val="-8"/>
          <w:sz w:val="24"/>
          <w:szCs w:val="24"/>
        </w:rPr>
        <w:t>)</w:t>
      </w:r>
    </w:p>
    <w:p w:rsidR="00E56E54" w:rsidRPr="002E389A" w:rsidRDefault="00E56E54" w:rsidP="002E389A">
      <w:pPr>
        <w:pStyle w:val="NoSpacing"/>
        <w:numPr>
          <w:ilvl w:val="0"/>
          <w:numId w:val="9"/>
        </w:numPr>
        <w:ind w:left="284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Apneea</w:t>
      </w:r>
      <w:proofErr w:type="spellEnd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 xml:space="preserve"> de </w:t>
      </w: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somn</w:t>
      </w:r>
      <w:proofErr w:type="spellEnd"/>
      <w:r w:rsidR="00E5306B" w:rsidRPr="002E389A"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  <w:t xml:space="preserve"> </w:t>
      </w:r>
      <w:proofErr w:type="spellStart"/>
      <w:r w:rsidR="00E5306B" w:rsidRPr="002E389A">
        <w:rPr>
          <w:rFonts w:ascii="Times New Roman" w:hAnsi="Times New Roman" w:cs="Times New Roman"/>
          <w:spacing w:val="-6"/>
          <w:sz w:val="24"/>
          <w:szCs w:val="24"/>
        </w:rPr>
        <w:t>și</w:t>
      </w:r>
      <w:proofErr w:type="spellEnd"/>
      <w:r w:rsidR="00E5306B"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E5306B" w:rsidRPr="002E389A">
        <w:rPr>
          <w:rFonts w:ascii="Times New Roman" w:hAnsi="Times New Roman" w:cs="Times New Roman"/>
          <w:spacing w:val="-6"/>
          <w:sz w:val="24"/>
          <w:szCs w:val="24"/>
        </w:rPr>
        <w:t>probleme</w:t>
      </w:r>
      <w:proofErr w:type="spellEnd"/>
      <w:r w:rsidR="00E5306B"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spacing w:val="-6"/>
          <w:sz w:val="24"/>
          <w:szCs w:val="24"/>
        </w:rPr>
        <w:t>respiratorii</w:t>
      </w:r>
      <w:proofErr w:type="spellEnd"/>
    </w:p>
    <w:p w:rsidR="00E56E54" w:rsidRPr="002E389A" w:rsidRDefault="00E56E54" w:rsidP="002E389A">
      <w:pPr>
        <w:pStyle w:val="NoSpacing"/>
        <w:numPr>
          <w:ilvl w:val="0"/>
          <w:numId w:val="9"/>
        </w:numPr>
        <w:ind w:left="284"/>
        <w:rPr>
          <w:rFonts w:ascii="Times New Roman" w:hAnsi="Times New Roman" w:cs="Times New Roman"/>
          <w:spacing w:val="-6"/>
          <w:sz w:val="24"/>
          <w:szCs w:val="24"/>
        </w:rPr>
      </w:pPr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 xml:space="preserve">Diverse </w:t>
      </w: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tipuri</w:t>
      </w:r>
      <w:proofErr w:type="spellEnd"/>
      <w:r w:rsidR="00E5306B"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 xml:space="preserve"> de cancer</w:t>
      </w:r>
      <w:r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5306B"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(endometrial, </w:t>
      </w:r>
      <w:proofErr w:type="spellStart"/>
      <w:r w:rsidR="00E5306B" w:rsidRPr="002E389A">
        <w:rPr>
          <w:rFonts w:ascii="Times New Roman" w:hAnsi="Times New Roman" w:cs="Times New Roman"/>
          <w:spacing w:val="-6"/>
          <w:sz w:val="24"/>
          <w:szCs w:val="24"/>
        </w:rPr>
        <w:t>mamar</w:t>
      </w:r>
      <w:proofErr w:type="spellEnd"/>
      <w:r w:rsidR="00E5306B"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, colon, </w:t>
      </w:r>
      <w:proofErr w:type="spellStart"/>
      <w:r w:rsidR="00E5306B" w:rsidRPr="002E389A">
        <w:rPr>
          <w:rFonts w:ascii="Times New Roman" w:hAnsi="Times New Roman" w:cs="Times New Roman"/>
          <w:spacing w:val="-6"/>
          <w:sz w:val="24"/>
          <w:szCs w:val="24"/>
        </w:rPr>
        <w:t>rinichi</w:t>
      </w:r>
      <w:proofErr w:type="spellEnd"/>
      <w:r w:rsidR="00E5306B"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="00E5306B" w:rsidRPr="002E389A">
        <w:rPr>
          <w:rFonts w:ascii="Times New Roman" w:hAnsi="Times New Roman" w:cs="Times New Roman"/>
          <w:spacing w:val="-6"/>
          <w:sz w:val="24"/>
          <w:szCs w:val="24"/>
        </w:rPr>
        <w:t>vezica</w:t>
      </w:r>
      <w:proofErr w:type="spellEnd"/>
      <w:r w:rsidR="00E5306B"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E5306B" w:rsidRPr="002E389A">
        <w:rPr>
          <w:rFonts w:ascii="Times New Roman" w:hAnsi="Times New Roman" w:cs="Times New Roman"/>
          <w:spacing w:val="-6"/>
          <w:sz w:val="24"/>
          <w:szCs w:val="24"/>
        </w:rPr>
        <w:t>biliară</w:t>
      </w:r>
      <w:proofErr w:type="spellEnd"/>
      <w:r w:rsidR="00E5306B"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E5306B" w:rsidRPr="002E389A">
        <w:rPr>
          <w:rFonts w:ascii="Times New Roman" w:hAnsi="Times New Roman" w:cs="Times New Roman"/>
          <w:spacing w:val="-6"/>
          <w:sz w:val="24"/>
          <w:szCs w:val="24"/>
        </w:rPr>
        <w:t>și</w:t>
      </w:r>
      <w:proofErr w:type="spellEnd"/>
      <w:r w:rsidR="00E5306B"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E5306B" w:rsidRPr="002E389A">
        <w:rPr>
          <w:rFonts w:ascii="Times New Roman" w:hAnsi="Times New Roman" w:cs="Times New Roman"/>
          <w:spacing w:val="-6"/>
          <w:sz w:val="24"/>
          <w:szCs w:val="24"/>
        </w:rPr>
        <w:t>ficat</w:t>
      </w:r>
      <w:proofErr w:type="spellEnd"/>
      <w:r w:rsidR="00E5306B" w:rsidRPr="002E389A">
        <w:rPr>
          <w:rFonts w:ascii="Times New Roman" w:hAnsi="Times New Roman" w:cs="Times New Roman"/>
          <w:spacing w:val="-6"/>
          <w:sz w:val="24"/>
          <w:szCs w:val="24"/>
        </w:rPr>
        <w:t>)</w:t>
      </w:r>
    </w:p>
    <w:p w:rsidR="00BE756A" w:rsidRPr="002E389A" w:rsidRDefault="00E5306B" w:rsidP="002E389A">
      <w:pPr>
        <w:pStyle w:val="NoSpacing"/>
        <w:numPr>
          <w:ilvl w:val="0"/>
          <w:numId w:val="9"/>
        </w:numPr>
        <w:ind w:left="284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Afecțiuni</w:t>
      </w:r>
      <w:proofErr w:type="spellEnd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psihice</w:t>
      </w:r>
      <w:proofErr w:type="spellEnd"/>
      <w:r w:rsidR="00F431B5" w:rsidRPr="002E389A"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  <w:t xml:space="preserve"> </w:t>
      </w:r>
      <w:r w:rsidR="00F431B5" w:rsidRPr="002E389A">
        <w:rPr>
          <w:rFonts w:ascii="Times New Roman" w:hAnsi="Times New Roman" w:cs="Times New Roman"/>
          <w:spacing w:val="-6"/>
          <w:sz w:val="24"/>
          <w:szCs w:val="24"/>
        </w:rPr>
        <w:t>(</w:t>
      </w:r>
      <w:r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spacing w:val="-6"/>
          <w:sz w:val="24"/>
          <w:szCs w:val="24"/>
        </w:rPr>
        <w:t>depresia</w:t>
      </w:r>
      <w:proofErr w:type="spellEnd"/>
      <w:r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spacing w:val="-6"/>
          <w:sz w:val="24"/>
          <w:szCs w:val="24"/>
        </w:rPr>
        <w:t>clinică</w:t>
      </w:r>
      <w:proofErr w:type="spellEnd"/>
      <w:r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2E389A">
        <w:rPr>
          <w:rFonts w:ascii="Times New Roman" w:hAnsi="Times New Roman" w:cs="Times New Roman"/>
          <w:spacing w:val="-6"/>
          <w:sz w:val="24"/>
          <w:szCs w:val="24"/>
        </w:rPr>
        <w:t>anxieta</w:t>
      </w:r>
      <w:r w:rsidR="00E56E54" w:rsidRPr="002E389A">
        <w:rPr>
          <w:rFonts w:ascii="Times New Roman" w:hAnsi="Times New Roman" w:cs="Times New Roman"/>
          <w:spacing w:val="-6"/>
          <w:sz w:val="24"/>
          <w:szCs w:val="24"/>
        </w:rPr>
        <w:t>tea</w:t>
      </w:r>
      <w:proofErr w:type="spellEnd"/>
      <w:r w:rsidR="00E56E54"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E56E54" w:rsidRPr="002E389A">
        <w:rPr>
          <w:rFonts w:ascii="Times New Roman" w:hAnsi="Times New Roman" w:cs="Times New Roman"/>
          <w:spacing w:val="-6"/>
          <w:sz w:val="24"/>
          <w:szCs w:val="24"/>
        </w:rPr>
        <w:t>și</w:t>
      </w:r>
      <w:proofErr w:type="spellEnd"/>
      <w:r w:rsidR="00E56E54"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E56E54" w:rsidRPr="002E389A">
        <w:rPr>
          <w:rFonts w:ascii="Times New Roman" w:hAnsi="Times New Roman" w:cs="Times New Roman"/>
          <w:spacing w:val="-6"/>
          <w:sz w:val="24"/>
          <w:szCs w:val="24"/>
        </w:rPr>
        <w:t>alte</w:t>
      </w:r>
      <w:proofErr w:type="spellEnd"/>
      <w:r w:rsidR="00E56E54"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E56E54" w:rsidRPr="002E389A">
        <w:rPr>
          <w:rFonts w:ascii="Times New Roman" w:hAnsi="Times New Roman" w:cs="Times New Roman"/>
          <w:spacing w:val="-6"/>
          <w:sz w:val="24"/>
          <w:szCs w:val="24"/>
        </w:rPr>
        <w:t>tulburări</w:t>
      </w:r>
      <w:proofErr w:type="spellEnd"/>
      <w:r w:rsidR="00E56E54" w:rsidRPr="002E38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E56E54" w:rsidRPr="002E389A">
        <w:rPr>
          <w:rFonts w:ascii="Times New Roman" w:hAnsi="Times New Roman" w:cs="Times New Roman"/>
          <w:spacing w:val="-6"/>
          <w:sz w:val="24"/>
          <w:szCs w:val="24"/>
        </w:rPr>
        <w:t>mintale</w:t>
      </w:r>
      <w:proofErr w:type="spellEnd"/>
      <w:r w:rsidR="00F431B5" w:rsidRPr="002E389A">
        <w:rPr>
          <w:rFonts w:ascii="Times New Roman" w:hAnsi="Times New Roman" w:cs="Times New Roman"/>
          <w:spacing w:val="-6"/>
          <w:sz w:val="24"/>
          <w:szCs w:val="24"/>
        </w:rPr>
        <w:t>)</w:t>
      </w:r>
    </w:p>
    <w:p w:rsidR="00BE756A" w:rsidRPr="002E389A" w:rsidRDefault="00BE756A" w:rsidP="002E389A">
      <w:pPr>
        <w:pStyle w:val="NoSpacing"/>
        <w:numPr>
          <w:ilvl w:val="0"/>
          <w:numId w:val="9"/>
        </w:numPr>
        <w:ind w:left="284"/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</w:pP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Probleme</w:t>
      </w:r>
      <w:proofErr w:type="spellEnd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în</w:t>
      </w:r>
      <w:proofErr w:type="spellEnd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timpul</w:t>
      </w:r>
      <w:proofErr w:type="spellEnd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sarcinii</w:t>
      </w:r>
      <w:proofErr w:type="spellEnd"/>
    </w:p>
    <w:p w:rsidR="00386EB0" w:rsidRPr="002E389A" w:rsidRDefault="00386EB0" w:rsidP="002E389A">
      <w:pPr>
        <w:pStyle w:val="NoSpacing"/>
        <w:numPr>
          <w:ilvl w:val="0"/>
          <w:numId w:val="9"/>
        </w:numPr>
        <w:ind w:left="284"/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</w:pP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Afecțiuni</w:t>
      </w:r>
      <w:proofErr w:type="spellEnd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ginecologice</w:t>
      </w:r>
      <w:proofErr w:type="spellEnd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precum</w:t>
      </w:r>
      <w:proofErr w:type="spellEnd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infertilitate</w:t>
      </w:r>
      <w:proofErr w:type="spellEnd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ți</w:t>
      </w:r>
      <w:proofErr w:type="spellEnd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menstruații</w:t>
      </w:r>
      <w:proofErr w:type="spellEnd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neregulate</w:t>
      </w:r>
      <w:proofErr w:type="spellEnd"/>
    </w:p>
    <w:p w:rsidR="00386EB0" w:rsidRPr="002E389A" w:rsidRDefault="00386EB0" w:rsidP="002E389A">
      <w:pPr>
        <w:pStyle w:val="NoSpacing"/>
        <w:numPr>
          <w:ilvl w:val="0"/>
          <w:numId w:val="9"/>
        </w:numPr>
        <w:ind w:left="284"/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</w:pP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Disfuncții</w:t>
      </w:r>
      <w:proofErr w:type="spellEnd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 xml:space="preserve"> erectile</w:t>
      </w:r>
    </w:p>
    <w:p w:rsidR="00386EB0" w:rsidRPr="002E389A" w:rsidRDefault="00AA1532" w:rsidP="002E389A">
      <w:pPr>
        <w:pStyle w:val="NoSpacing"/>
        <w:numPr>
          <w:ilvl w:val="0"/>
          <w:numId w:val="9"/>
        </w:numPr>
        <w:ind w:left="284"/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</w:pPr>
      <w:r>
        <w:rPr>
          <w:noProof/>
          <w:spacing w:val="-6"/>
          <w:sz w:val="24"/>
          <w:szCs w:val="24"/>
        </w:rPr>
        <w:pict>
          <v:shape id="_x0000_s1028" type="#_x0000_t75" style="position:absolute;left:0;text-align:left;margin-left:3.45pt;margin-top:13.05pt;width:248.05pt;height:252.9pt;z-index:251666944;mso-position-horizontal-relative:text;mso-position-vertical-relative:text">
            <v:imagedata r:id="rId10" o:title="Untitled-4"/>
          </v:shape>
        </w:pict>
      </w:r>
      <w:proofErr w:type="spellStart"/>
      <w:r w:rsidR="00386EB0"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Osteoartrită</w:t>
      </w:r>
      <w:proofErr w:type="spellEnd"/>
    </w:p>
    <w:p w:rsidR="00E5306B" w:rsidRPr="002E389A" w:rsidRDefault="00E56E54" w:rsidP="002E389A">
      <w:pPr>
        <w:pStyle w:val="NoSpacing"/>
        <w:numPr>
          <w:ilvl w:val="0"/>
          <w:numId w:val="9"/>
        </w:numPr>
        <w:ind w:left="284"/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</w:pP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Calitate</w:t>
      </w:r>
      <w:proofErr w:type="spellEnd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 xml:space="preserve"> </w:t>
      </w: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scăzută</w:t>
      </w:r>
      <w:proofErr w:type="spellEnd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 xml:space="preserve"> a </w:t>
      </w: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  <w:spacing w:val="-6"/>
          <w:sz w:val="24"/>
          <w:szCs w:val="24"/>
        </w:rPr>
        <w:t>vieții</w:t>
      </w:r>
      <w:proofErr w:type="spellEnd"/>
    </w:p>
    <w:p w:rsidR="00BB1C73" w:rsidRDefault="00BB1C73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2E389A" w:rsidRDefault="002E389A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2E389A" w:rsidRDefault="002E389A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2E389A" w:rsidRDefault="002E389A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2E389A" w:rsidRDefault="002E389A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2E389A" w:rsidRDefault="002E389A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2E389A" w:rsidRDefault="002E389A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2E389A" w:rsidRDefault="002E389A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2E389A" w:rsidRDefault="002E389A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2E389A" w:rsidRDefault="002E389A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2E389A" w:rsidRDefault="002E389A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2E389A" w:rsidRDefault="002E389A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2E389A" w:rsidRDefault="002E389A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2E389A" w:rsidRDefault="002E389A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EB5685" w:rsidRPr="00386EB0" w:rsidRDefault="00EB5685" w:rsidP="00EB5685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  <w:sz w:val="6"/>
        </w:rPr>
      </w:pPr>
    </w:p>
    <w:p w:rsidR="00AF37F9" w:rsidRPr="00F431B5" w:rsidRDefault="00AF37F9" w:rsidP="00EB5685">
      <w:pPr>
        <w:jc w:val="center"/>
      </w:pPr>
    </w:p>
    <w:p w:rsidR="0073722E" w:rsidRPr="00C34F1D" w:rsidRDefault="0073722E" w:rsidP="0073722E">
      <w:pPr>
        <w:pStyle w:val="NoSpacing"/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C34F1D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PREVENIREA OBEZITĂȚII</w:t>
      </w:r>
    </w:p>
    <w:p w:rsidR="0073722E" w:rsidRPr="002E389A" w:rsidRDefault="008A49AB" w:rsidP="002E389A">
      <w:pPr>
        <w:pStyle w:val="NoSpacing"/>
        <w:jc w:val="both"/>
        <w:rPr>
          <w:rFonts w:ascii="Times New Roman" w:hAnsi="Times New Roman" w:cs="Times New Roman"/>
          <w:b/>
          <w:color w:val="00B050"/>
        </w:rPr>
      </w:pPr>
      <w:r w:rsidRPr="002E389A">
        <w:rPr>
          <w:rFonts w:ascii="Times New Roman" w:hAnsi="Times New Roman" w:cs="Times New Roman"/>
          <w:lang w:val="ro-RO"/>
        </w:rPr>
        <w:t xml:space="preserve">O modificare permanentă în  mediul înconjurător este cea mai bună modalitate de a </w:t>
      </w:r>
      <w:r w:rsidRPr="002E389A">
        <w:rPr>
          <w:rFonts w:ascii="Times New Roman" w:hAnsi="Times New Roman" w:cs="Times New Roman"/>
          <w:lang w:val="ro-RO"/>
        </w:rPr>
        <w:tab/>
        <w:t>asigura schimbări pe viață. Modificări mici în stilul de  viață, pot preveni boli cronice, ca de exemplu obezitatea, bolile cardiace, hipertensiunea, accidentul vascular cerebral, osteo-artrita, diabetul zaharat de tip 2, diferite tipuri de cancer.</w:t>
      </w:r>
    </w:p>
    <w:p w:rsidR="002A7685" w:rsidRPr="002E389A" w:rsidRDefault="0073722E" w:rsidP="002E389A">
      <w:pPr>
        <w:pStyle w:val="NoSpacing"/>
        <w:numPr>
          <w:ilvl w:val="0"/>
          <w:numId w:val="16"/>
        </w:numPr>
        <w:ind w:left="-142" w:hanging="142"/>
        <w:jc w:val="both"/>
        <w:rPr>
          <w:rFonts w:ascii="Times New Roman" w:hAnsi="Times New Roman" w:cs="Times New Roman"/>
          <w:b/>
          <w:color w:val="E36C0A" w:themeColor="accent6" w:themeShade="BF"/>
        </w:rPr>
      </w:pPr>
      <w:r w:rsidRPr="002E389A">
        <w:rPr>
          <w:rFonts w:ascii="Times New Roman" w:hAnsi="Times New Roman" w:cs="Times New Roman"/>
          <w:b/>
          <w:color w:val="E36C0A" w:themeColor="accent6" w:themeShade="BF"/>
        </w:rPr>
        <w:t xml:space="preserve">Plan de </w:t>
      </w: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</w:rPr>
        <w:t>nutriție</w:t>
      </w:r>
      <w:proofErr w:type="spellEnd"/>
      <w:r w:rsidRPr="002E389A">
        <w:rPr>
          <w:rFonts w:ascii="Times New Roman" w:hAnsi="Times New Roman" w:cs="Times New Roman"/>
          <w:b/>
          <w:color w:val="E36C0A" w:themeColor="accent6" w:themeShade="BF"/>
        </w:rPr>
        <w:t xml:space="preserve"> </w:t>
      </w:r>
      <w:proofErr w:type="spellStart"/>
      <w:r w:rsidRPr="002E389A">
        <w:rPr>
          <w:rFonts w:ascii="Times New Roman" w:hAnsi="Times New Roman" w:cs="Times New Roman"/>
          <w:b/>
          <w:color w:val="E36C0A" w:themeColor="accent6" w:themeShade="BF"/>
        </w:rPr>
        <w:t>echilibrată</w:t>
      </w:r>
      <w:proofErr w:type="spellEnd"/>
      <w:r w:rsidRPr="002E389A">
        <w:rPr>
          <w:rFonts w:ascii="Times New Roman" w:hAnsi="Times New Roman" w:cs="Times New Roman"/>
          <w:b/>
          <w:color w:val="E36C0A" w:themeColor="accent6" w:themeShade="BF"/>
        </w:rPr>
        <w:t>:</w:t>
      </w:r>
    </w:p>
    <w:p w:rsidR="00FA120D" w:rsidRPr="002E389A" w:rsidRDefault="002A7685" w:rsidP="002E389A">
      <w:pPr>
        <w:pStyle w:val="NoSpacing"/>
        <w:ind w:left="-142"/>
        <w:jc w:val="both"/>
        <w:rPr>
          <w:rFonts w:ascii="Times New Roman" w:hAnsi="Times New Roman" w:cs="Times New Roman"/>
          <w:lang w:val="ro-RO"/>
        </w:rPr>
      </w:pPr>
      <w:r w:rsidRPr="002E389A">
        <w:rPr>
          <w:rFonts w:ascii="Times New Roman" w:hAnsi="Times New Roman" w:cs="Times New Roman"/>
          <w:lang w:val="ro-RO"/>
        </w:rPr>
        <w:t>C</w:t>
      </w:r>
      <w:r w:rsidR="0073722E" w:rsidRPr="002E389A">
        <w:rPr>
          <w:rFonts w:ascii="Times New Roman" w:hAnsi="Times New Roman" w:cs="Times New Roman"/>
          <w:lang w:val="ro-RO"/>
        </w:rPr>
        <w:t>onsum de alimente cu conținut caloric scăzut, dar cu densitate nutrițională mare, ca</w:t>
      </w:r>
      <w:r w:rsidRPr="002E389A">
        <w:rPr>
          <w:rFonts w:ascii="Times New Roman" w:hAnsi="Times New Roman" w:cs="Times New Roman"/>
          <w:lang w:val="ro-RO"/>
        </w:rPr>
        <w:t xml:space="preserve"> de ex. fructe, legume, cereale;</w:t>
      </w:r>
      <w:r w:rsidR="001A14AF" w:rsidRPr="002E389A">
        <w:rPr>
          <w:rFonts w:ascii="Times New Roman" w:hAnsi="Times New Roman" w:cs="Times New Roman"/>
          <w:lang w:val="ro-RO"/>
        </w:rPr>
        <w:t xml:space="preserve"> </w:t>
      </w:r>
      <w:r w:rsidR="00E10BE3" w:rsidRPr="002E389A">
        <w:rPr>
          <w:rFonts w:ascii="Times New Roman" w:hAnsi="Times New Roman" w:cs="Times New Roman"/>
          <w:lang w:val="ro-RO"/>
        </w:rPr>
        <w:t>Creștere</w:t>
      </w:r>
      <w:r w:rsidR="00AE24D9" w:rsidRPr="002E389A">
        <w:rPr>
          <w:rFonts w:ascii="Times New Roman" w:hAnsi="Times New Roman" w:cs="Times New Roman"/>
          <w:lang w:val="ro-RO"/>
        </w:rPr>
        <w:t>a aportului de fructe și legume</w:t>
      </w:r>
      <w:r w:rsidR="008A49AB" w:rsidRPr="002E389A">
        <w:rPr>
          <w:rFonts w:ascii="Times New Roman" w:hAnsi="Times New Roman" w:cs="Times New Roman"/>
          <w:lang w:val="ro-RO"/>
        </w:rPr>
        <w:t xml:space="preserve"> și e</w:t>
      </w:r>
      <w:r w:rsidR="0073722E" w:rsidRPr="002E389A">
        <w:rPr>
          <w:rFonts w:ascii="Times New Roman" w:hAnsi="Times New Roman" w:cs="Times New Roman"/>
          <w:lang w:val="ro-RO"/>
        </w:rPr>
        <w:t xml:space="preserve">vitarea </w:t>
      </w:r>
      <w:r w:rsidR="0073722E" w:rsidRPr="002E389A">
        <w:rPr>
          <w:rFonts w:ascii="Times New Roman" w:hAnsi="Times New Roman" w:cs="Times New Roman"/>
        </w:rPr>
        <w:t> </w:t>
      </w:r>
      <w:r w:rsidR="00AE24D9" w:rsidRPr="002E389A">
        <w:rPr>
          <w:rFonts w:ascii="Times New Roman" w:hAnsi="Times New Roman" w:cs="Times New Roman"/>
        </w:rPr>
        <w:t xml:space="preserve">aportului de </w:t>
      </w:r>
      <w:r w:rsidR="00AE24D9" w:rsidRPr="002E389A">
        <w:rPr>
          <w:rFonts w:ascii="Times New Roman" w:hAnsi="Times New Roman" w:cs="Times New Roman"/>
          <w:lang w:val="ro-RO"/>
        </w:rPr>
        <w:t>grăsimi saturate;</w:t>
      </w:r>
      <w:r w:rsidR="001A14AF" w:rsidRPr="002E389A">
        <w:rPr>
          <w:rFonts w:ascii="Times New Roman" w:hAnsi="Times New Roman" w:cs="Times New Roman"/>
          <w:lang w:val="ro-RO"/>
        </w:rPr>
        <w:t xml:space="preserve"> </w:t>
      </w:r>
      <w:r w:rsidR="00AE24D9" w:rsidRPr="002E389A">
        <w:rPr>
          <w:rFonts w:ascii="Times New Roman" w:hAnsi="Times New Roman" w:cs="Times New Roman"/>
          <w:lang w:val="ro-RO"/>
        </w:rPr>
        <w:t>L</w:t>
      </w:r>
      <w:r w:rsidR="0073722E" w:rsidRPr="002E389A">
        <w:rPr>
          <w:rFonts w:ascii="Times New Roman" w:hAnsi="Times New Roman" w:cs="Times New Roman"/>
          <w:lang w:val="ro-RO"/>
        </w:rPr>
        <w:t xml:space="preserve">imitarea </w:t>
      </w:r>
      <w:r w:rsidR="00FA120D" w:rsidRPr="002E389A">
        <w:rPr>
          <w:rFonts w:ascii="Times New Roman" w:hAnsi="Times New Roman" w:cs="Times New Roman"/>
          <w:lang w:val="ro-RO"/>
        </w:rPr>
        <w:t>consumului de dulciuri și alcool</w:t>
      </w:r>
      <w:r w:rsidR="00AE24D9" w:rsidRPr="002E389A">
        <w:rPr>
          <w:rFonts w:ascii="Times New Roman" w:hAnsi="Times New Roman" w:cs="Times New Roman"/>
          <w:lang w:val="ro-RO"/>
        </w:rPr>
        <w:t>;</w:t>
      </w:r>
      <w:r w:rsidR="001A14AF" w:rsidRPr="002E389A">
        <w:rPr>
          <w:rFonts w:ascii="Times New Roman" w:hAnsi="Times New Roman" w:cs="Times New Roman"/>
          <w:lang w:val="ro-RO"/>
        </w:rPr>
        <w:t>Să se consume</w:t>
      </w:r>
      <w:r w:rsidR="0073722E" w:rsidRPr="002E389A">
        <w:rPr>
          <w:rFonts w:ascii="Times New Roman" w:hAnsi="Times New Roman" w:cs="Times New Roman"/>
          <w:lang w:val="ro-RO"/>
        </w:rPr>
        <w:t xml:space="preserve"> trei mese regulate pe zi</w:t>
      </w:r>
      <w:r w:rsidR="00FA120D" w:rsidRPr="002E389A">
        <w:rPr>
          <w:rFonts w:ascii="Times New Roman" w:hAnsi="Times New Roman" w:cs="Times New Roman"/>
          <w:lang w:val="ro-RO"/>
        </w:rPr>
        <w:t>, cu puține gustări între mese.</w:t>
      </w:r>
    </w:p>
    <w:p w:rsidR="0073722E" w:rsidRPr="002E389A" w:rsidRDefault="00FA120D" w:rsidP="002E389A">
      <w:pPr>
        <w:pStyle w:val="NoSpacing"/>
        <w:ind w:left="-142" w:hanging="142"/>
        <w:jc w:val="both"/>
        <w:rPr>
          <w:rFonts w:ascii="Times New Roman" w:hAnsi="Times New Roman" w:cs="Times New Roman"/>
          <w:lang w:val="ro-RO"/>
        </w:rPr>
      </w:pPr>
      <w:r w:rsidRPr="002E389A">
        <w:rPr>
          <w:rFonts w:ascii="Times New Roman" w:hAnsi="Times New Roman" w:cs="Times New Roman"/>
          <w:b/>
          <w:color w:val="E36C0A" w:themeColor="accent6" w:themeShade="BF"/>
        </w:rPr>
        <w:t xml:space="preserve">2. </w:t>
      </w:r>
      <w:r w:rsidR="0073722E" w:rsidRPr="002E389A">
        <w:rPr>
          <w:rFonts w:ascii="Times New Roman" w:hAnsi="Times New Roman" w:cs="Times New Roman"/>
          <w:b/>
          <w:color w:val="E36C0A" w:themeColor="accent6" w:themeShade="BF"/>
        </w:rPr>
        <w:t xml:space="preserve"> Activitate fizică regulată</w:t>
      </w:r>
      <w:r w:rsidR="00802934" w:rsidRPr="002E389A">
        <w:rPr>
          <w:rFonts w:ascii="Times New Roman" w:hAnsi="Times New Roman" w:cs="Times New Roman"/>
          <w:lang w:val="ro-RO"/>
        </w:rPr>
        <w:t xml:space="preserve"> </w:t>
      </w:r>
      <w:r w:rsidR="00466583" w:rsidRPr="002E389A">
        <w:rPr>
          <w:rFonts w:ascii="Times New Roman" w:hAnsi="Times New Roman" w:cs="Times New Roman"/>
          <w:b/>
          <w:color w:val="E36C0A" w:themeColor="accent6" w:themeShade="BF"/>
        </w:rPr>
        <w:t>și moderată</w:t>
      </w:r>
      <w:r w:rsidR="00466583" w:rsidRPr="002E389A">
        <w:rPr>
          <w:rFonts w:ascii="Times New Roman" w:hAnsi="Times New Roman" w:cs="Times New Roman"/>
          <w:lang w:val="ro-RO"/>
        </w:rPr>
        <w:t>- în</w:t>
      </w:r>
      <w:r w:rsidR="0073722E" w:rsidRPr="002E389A">
        <w:rPr>
          <w:rFonts w:ascii="Times New Roman" w:hAnsi="Times New Roman" w:cs="Times New Roman"/>
          <w:lang w:val="ro-RO"/>
        </w:rPr>
        <w:t xml:space="preserve"> funcție de vârstă și starea de </w:t>
      </w:r>
      <w:r w:rsidR="00466583" w:rsidRPr="002E389A">
        <w:rPr>
          <w:rFonts w:ascii="Times New Roman" w:hAnsi="Times New Roman" w:cs="Times New Roman"/>
          <w:lang w:val="ro-RO"/>
        </w:rPr>
        <w:t>sănătate (copii&lt;17 ani – 60 min/zi, adulți &gt; 150 min/săptămână)</w:t>
      </w:r>
      <w:r w:rsidR="00AE24D9" w:rsidRPr="002E389A">
        <w:rPr>
          <w:rFonts w:ascii="Times New Roman" w:hAnsi="Times New Roman" w:cs="Times New Roman"/>
          <w:lang w:val="ro-RO"/>
        </w:rPr>
        <w:t xml:space="preserve"> </w:t>
      </w:r>
    </w:p>
    <w:p w:rsidR="0073722E" w:rsidRPr="002E389A" w:rsidRDefault="0073722E" w:rsidP="002E389A">
      <w:pPr>
        <w:pStyle w:val="NoSpacing"/>
        <w:ind w:left="-142" w:hanging="142"/>
        <w:jc w:val="both"/>
        <w:rPr>
          <w:rFonts w:ascii="Times New Roman" w:hAnsi="Times New Roman" w:cs="Times New Roman"/>
          <w:lang w:val="ro-RO"/>
        </w:rPr>
      </w:pPr>
      <w:r w:rsidRPr="002E389A">
        <w:rPr>
          <w:rFonts w:ascii="Times New Roman" w:hAnsi="Times New Roman" w:cs="Times New Roman"/>
          <w:b/>
          <w:color w:val="E36C0A" w:themeColor="accent6" w:themeShade="BF"/>
        </w:rPr>
        <w:t>3. Verificarea regulată a greutății corporale</w:t>
      </w:r>
      <w:r w:rsidR="00FA120D" w:rsidRPr="002E389A">
        <w:rPr>
          <w:rFonts w:ascii="Times New Roman" w:hAnsi="Times New Roman" w:cs="Times New Roman"/>
          <w:lang w:val="ro-RO"/>
        </w:rPr>
        <w:t xml:space="preserve"> - recomandat</w:t>
      </w:r>
      <w:r w:rsidRPr="002E389A">
        <w:rPr>
          <w:rFonts w:ascii="Times New Roman" w:hAnsi="Times New Roman" w:cs="Times New Roman"/>
          <w:lang w:val="ro-RO"/>
        </w:rPr>
        <w:t xml:space="preserve"> cel puțin o dată pe săptămână.</w:t>
      </w:r>
    </w:p>
    <w:p w:rsidR="0036496D" w:rsidRPr="002E389A" w:rsidRDefault="0073722E" w:rsidP="002E389A">
      <w:pPr>
        <w:pStyle w:val="NoSpacing"/>
        <w:ind w:left="-142" w:hanging="142"/>
        <w:jc w:val="both"/>
        <w:rPr>
          <w:rFonts w:ascii="Times New Roman" w:hAnsi="Times New Roman" w:cs="Times New Roman"/>
          <w:lang w:val="ro-RO"/>
        </w:rPr>
      </w:pPr>
      <w:r w:rsidRPr="002E389A">
        <w:rPr>
          <w:rFonts w:ascii="Times New Roman" w:hAnsi="Times New Roman" w:cs="Times New Roman"/>
          <w:b/>
          <w:color w:val="E36C0A" w:themeColor="accent6" w:themeShade="BF"/>
        </w:rPr>
        <w:t>4. Cunoașterea și evitarea capcanelor alimentare</w:t>
      </w:r>
      <w:r w:rsidR="00FA120D" w:rsidRPr="002E389A">
        <w:rPr>
          <w:rFonts w:ascii="Times New Roman" w:hAnsi="Times New Roman" w:cs="Times New Roman"/>
          <w:b/>
          <w:color w:val="E36C0A" w:themeColor="accent6" w:themeShade="BF"/>
        </w:rPr>
        <w:t>,</w:t>
      </w:r>
      <w:r w:rsidR="00FA120D" w:rsidRPr="002E389A">
        <w:rPr>
          <w:rFonts w:ascii="Times New Roman" w:hAnsi="Times New Roman" w:cs="Times New Roman"/>
          <w:b/>
          <w:color w:val="E36C0A" w:themeColor="accent6" w:themeShade="BF"/>
          <w:lang w:val="ro-RO"/>
        </w:rPr>
        <w:t xml:space="preserve"> </w:t>
      </w:r>
      <w:r w:rsidR="00FA120D" w:rsidRPr="002E389A">
        <w:rPr>
          <w:rFonts w:ascii="Times New Roman" w:hAnsi="Times New Roman" w:cs="Times New Roman"/>
          <w:lang w:val="ro-RO"/>
        </w:rPr>
        <w:t>se poate realiza</w:t>
      </w:r>
      <w:r w:rsidR="00FA120D" w:rsidRPr="002E389A">
        <w:rPr>
          <w:rFonts w:ascii="Times New Roman" w:hAnsi="Times New Roman" w:cs="Times New Roman"/>
          <w:b/>
          <w:color w:val="E36C0A" w:themeColor="accent6" w:themeShade="BF"/>
          <w:lang w:val="ro-RO"/>
        </w:rPr>
        <w:t xml:space="preserve"> </w:t>
      </w:r>
      <w:r w:rsidR="0036496D" w:rsidRPr="002E389A">
        <w:rPr>
          <w:rFonts w:ascii="Times New Roman" w:hAnsi="Times New Roman" w:cs="Times New Roman"/>
          <w:lang w:val="ro-RO"/>
        </w:rPr>
        <w:t>prin:</w:t>
      </w:r>
    </w:p>
    <w:p w:rsidR="00802934" w:rsidRPr="002E389A" w:rsidRDefault="0073722E" w:rsidP="002E389A">
      <w:pPr>
        <w:pStyle w:val="NoSpacing"/>
        <w:numPr>
          <w:ilvl w:val="0"/>
          <w:numId w:val="18"/>
        </w:numPr>
        <w:ind w:left="-142" w:right="-18" w:hanging="142"/>
        <w:jc w:val="both"/>
        <w:rPr>
          <w:rFonts w:ascii="Times New Roman" w:hAnsi="Times New Roman" w:cs="Times New Roman"/>
          <w:lang w:val="ro-RO"/>
        </w:rPr>
      </w:pPr>
      <w:r w:rsidRPr="002E389A">
        <w:rPr>
          <w:rFonts w:ascii="Times New Roman" w:hAnsi="Times New Roman" w:cs="Times New Roman"/>
          <w:lang w:val="ro-RO"/>
        </w:rPr>
        <w:t xml:space="preserve">Identificarea situațiilor care </w:t>
      </w:r>
      <w:r w:rsidR="0036496D" w:rsidRPr="002E389A">
        <w:rPr>
          <w:rFonts w:ascii="Times New Roman" w:hAnsi="Times New Roman" w:cs="Times New Roman"/>
          <w:lang w:val="ro-RO"/>
        </w:rPr>
        <w:t>determină mâncatul fără control</w:t>
      </w:r>
      <w:r w:rsidR="008A49AB" w:rsidRPr="002E389A">
        <w:rPr>
          <w:rFonts w:ascii="Times New Roman" w:hAnsi="Times New Roman" w:cs="Times New Roman"/>
          <w:lang w:val="ro-RO"/>
        </w:rPr>
        <w:t xml:space="preserve"> cu dezvoltarea unor strategii individuale de control al comportamentelor alimentare</w:t>
      </w:r>
      <w:r w:rsidR="0036496D" w:rsidRPr="002E389A">
        <w:rPr>
          <w:rFonts w:ascii="Times New Roman" w:hAnsi="Times New Roman" w:cs="Times New Roman"/>
          <w:lang w:val="ro-RO"/>
        </w:rPr>
        <w:t>;</w:t>
      </w:r>
    </w:p>
    <w:p w:rsidR="00802934" w:rsidRPr="002E389A" w:rsidRDefault="0073722E" w:rsidP="002E389A">
      <w:pPr>
        <w:pStyle w:val="NoSpacing"/>
        <w:numPr>
          <w:ilvl w:val="0"/>
          <w:numId w:val="18"/>
        </w:numPr>
        <w:ind w:left="-142" w:hanging="142"/>
        <w:jc w:val="both"/>
        <w:rPr>
          <w:rFonts w:ascii="Times New Roman" w:hAnsi="Times New Roman" w:cs="Times New Roman"/>
          <w:lang w:val="ro-RO"/>
        </w:rPr>
      </w:pPr>
      <w:r w:rsidRPr="002E389A">
        <w:rPr>
          <w:rFonts w:ascii="Times New Roman" w:hAnsi="Times New Roman" w:cs="Times New Roman"/>
          <w:lang w:val="ro-RO"/>
        </w:rPr>
        <w:t>Jurnalul a</w:t>
      </w:r>
      <w:r w:rsidR="0036496D" w:rsidRPr="002E389A">
        <w:rPr>
          <w:rFonts w:ascii="Times New Roman" w:hAnsi="Times New Roman" w:cs="Times New Roman"/>
          <w:lang w:val="ro-RO"/>
        </w:rPr>
        <w:t>l</w:t>
      </w:r>
      <w:r w:rsidRPr="002E389A">
        <w:rPr>
          <w:rFonts w:ascii="Times New Roman" w:hAnsi="Times New Roman" w:cs="Times New Roman"/>
          <w:lang w:val="ro-RO"/>
        </w:rPr>
        <w:t xml:space="preserve">imentar, în care să se </w:t>
      </w:r>
      <w:r w:rsidR="0036496D" w:rsidRPr="002E389A">
        <w:rPr>
          <w:rFonts w:ascii="Times New Roman" w:hAnsi="Times New Roman" w:cs="Times New Roman"/>
          <w:lang w:val="ro-RO"/>
        </w:rPr>
        <w:t>noteze</w:t>
      </w:r>
      <w:r w:rsidRPr="002E389A">
        <w:rPr>
          <w:rFonts w:ascii="Times New Roman" w:hAnsi="Times New Roman" w:cs="Times New Roman"/>
          <w:lang w:val="ro-RO"/>
        </w:rPr>
        <w:t xml:space="preserve"> </w:t>
      </w:r>
      <w:r w:rsidR="0036496D" w:rsidRPr="002E389A">
        <w:rPr>
          <w:rFonts w:ascii="Times New Roman" w:hAnsi="Times New Roman" w:cs="Times New Roman"/>
          <w:lang w:val="ro-RO"/>
        </w:rPr>
        <w:t xml:space="preserve">când, </w:t>
      </w:r>
      <w:r w:rsidRPr="002E389A">
        <w:rPr>
          <w:rFonts w:ascii="Times New Roman" w:hAnsi="Times New Roman" w:cs="Times New Roman"/>
          <w:lang w:val="ro-RO"/>
        </w:rPr>
        <w:t xml:space="preserve">cât, </w:t>
      </w:r>
      <w:r w:rsidR="00422098" w:rsidRPr="002E389A">
        <w:rPr>
          <w:rFonts w:ascii="Times New Roman" w:hAnsi="Times New Roman" w:cs="Times New Roman"/>
          <w:lang w:val="ro-RO"/>
        </w:rPr>
        <w:t>ce</w:t>
      </w:r>
      <w:r w:rsidR="0036496D" w:rsidRPr="002E389A">
        <w:rPr>
          <w:rFonts w:ascii="Times New Roman" w:hAnsi="Times New Roman" w:cs="Times New Roman"/>
          <w:lang w:val="ro-RO"/>
        </w:rPr>
        <w:t xml:space="preserve"> </w:t>
      </w:r>
      <w:r w:rsidRPr="002E389A">
        <w:rPr>
          <w:rFonts w:ascii="Times New Roman" w:hAnsi="Times New Roman" w:cs="Times New Roman"/>
          <w:lang w:val="ro-RO"/>
        </w:rPr>
        <w:t xml:space="preserve">se mănâncă, starea de sațietate </w:t>
      </w:r>
      <w:r w:rsidR="0036496D" w:rsidRPr="002E389A">
        <w:rPr>
          <w:rFonts w:ascii="Times New Roman" w:hAnsi="Times New Roman" w:cs="Times New Roman"/>
          <w:lang w:val="ro-RO"/>
        </w:rPr>
        <w:t>fiind</w:t>
      </w:r>
      <w:r w:rsidRPr="002E389A">
        <w:rPr>
          <w:rFonts w:ascii="Times New Roman" w:hAnsi="Times New Roman" w:cs="Times New Roman"/>
          <w:lang w:val="ro-RO"/>
        </w:rPr>
        <w:t xml:space="preserve"> un instrument de identificar</w:t>
      </w:r>
      <w:r w:rsidR="0036496D" w:rsidRPr="002E389A">
        <w:rPr>
          <w:rFonts w:ascii="Times New Roman" w:hAnsi="Times New Roman" w:cs="Times New Roman"/>
          <w:lang w:val="ro-RO"/>
        </w:rPr>
        <w:t>e a unor  modele de alimentație;</w:t>
      </w:r>
    </w:p>
    <w:p w:rsidR="0073722E" w:rsidRPr="002E389A" w:rsidRDefault="00802934" w:rsidP="002E389A">
      <w:pPr>
        <w:pStyle w:val="NoSpacing"/>
        <w:numPr>
          <w:ilvl w:val="0"/>
          <w:numId w:val="18"/>
        </w:numPr>
        <w:ind w:left="-142" w:hanging="142"/>
        <w:jc w:val="both"/>
        <w:rPr>
          <w:rFonts w:ascii="Times New Roman" w:hAnsi="Times New Roman" w:cs="Times New Roman"/>
          <w:lang w:val="ro-RO"/>
        </w:rPr>
      </w:pPr>
      <w:r w:rsidRPr="002E389A">
        <w:rPr>
          <w:rFonts w:ascii="Times New Roman" w:hAnsi="Times New Roman" w:cs="Times New Roman"/>
          <w:lang w:val="ro-RO"/>
        </w:rPr>
        <w:t xml:space="preserve">Promovarea alăptării la sân –studiile epidemiologice </w:t>
      </w:r>
      <w:r w:rsidR="00135910" w:rsidRPr="002E389A">
        <w:rPr>
          <w:rFonts w:ascii="Times New Roman" w:hAnsi="Times New Roman" w:cs="Times New Roman"/>
          <w:lang w:val="ro-RO"/>
        </w:rPr>
        <w:t>indică scăderea riscului de supraponde</w:t>
      </w:r>
      <w:r w:rsidRPr="002E389A">
        <w:rPr>
          <w:rFonts w:ascii="Times New Roman" w:hAnsi="Times New Roman" w:cs="Times New Roman"/>
          <w:lang w:val="ro-RO"/>
        </w:rPr>
        <w:t>ralitate la copiii alăptați la sân.</w:t>
      </w:r>
      <w:r w:rsidR="0073722E" w:rsidRPr="002E389A">
        <w:rPr>
          <w:rFonts w:ascii="Times New Roman" w:hAnsi="Times New Roman" w:cs="Times New Roman"/>
          <w:lang w:val="ro-RO"/>
        </w:rPr>
        <w:t xml:space="preserve"> </w:t>
      </w:r>
    </w:p>
    <w:p w:rsidR="00387D16" w:rsidRPr="00C836DB" w:rsidRDefault="00C836DB" w:rsidP="008E5020">
      <w:pPr>
        <w:pStyle w:val="NoSpacing"/>
        <w:ind w:left="426"/>
        <w:jc w:val="center"/>
        <w:rPr>
          <w:sz w:val="18"/>
          <w:szCs w:val="18"/>
          <w:lang w:val="ro-RO"/>
        </w:rPr>
      </w:pPr>
      <w:r w:rsidRPr="00FC219D">
        <w:rPr>
          <w:rFonts w:ascii="Times New Roman" w:hAnsi="Times New Roman" w:cs="Times New Roman"/>
          <w:noProof/>
        </w:rPr>
        <w:drawing>
          <wp:inline distT="0" distB="0" distL="0" distR="0" wp14:anchorId="38F3C7B9" wp14:editId="7B41E8E8">
            <wp:extent cx="1681096" cy="1147977"/>
            <wp:effectExtent l="0" t="0" r="0" b="0"/>
            <wp:docPr id="10" name="Picture 5" descr="Imagine similarÄ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ine similarÄ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096" cy="117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22E" w:rsidRDefault="00B6222E" w:rsidP="00C836DB">
      <w:pPr>
        <w:pStyle w:val="NoSpacing"/>
        <w:jc w:val="center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ro-RO" w:eastAsia="ro-RO"/>
        </w:rPr>
      </w:pPr>
      <w:r w:rsidRPr="00C836DB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ro-RO" w:eastAsia="ro-RO"/>
        </w:rPr>
        <w:t>Material realizat în cadrul subprogramului de evaluare și promovare a sănătății și educație pentru sănătate al Ministerului Sănătății - pentru distribuție gratuită</w:t>
      </w:r>
    </w:p>
    <w:p w:rsidR="00CF2513" w:rsidRPr="00C836DB" w:rsidRDefault="00CF2513" w:rsidP="00C836DB">
      <w:pPr>
        <w:pStyle w:val="NoSpacing"/>
        <w:jc w:val="center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ro-RO" w:eastAsia="ro-RO"/>
        </w:rPr>
      </w:pPr>
    </w:p>
    <w:p w:rsidR="00E47125" w:rsidRPr="00C836DB" w:rsidRDefault="00C836DB" w:rsidP="00C836DB">
      <w:pPr>
        <w:pStyle w:val="NoSpacing"/>
        <w:ind w:left="-284"/>
        <w:rPr>
          <w:sz w:val="8"/>
          <w:szCs w:val="8"/>
        </w:rPr>
      </w:pPr>
      <w:r w:rsidRPr="00C836D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776" behindDoc="1" locked="0" layoutInCell="0" allowOverlap="1" wp14:anchorId="641DA57C" wp14:editId="60627D8E">
            <wp:simplePos x="0" y="0"/>
            <wp:positionH relativeFrom="margin">
              <wp:posOffset>4736685</wp:posOffset>
            </wp:positionH>
            <wp:positionV relativeFrom="paragraph">
              <wp:posOffset>43815</wp:posOffset>
            </wp:positionV>
            <wp:extent cx="381866" cy="257175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66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125">
        <w:t xml:space="preserve"> </w:t>
      </w:r>
      <w:r w:rsidR="00B6222E" w:rsidRPr="00B00EB8">
        <w:rPr>
          <w:noProof/>
        </w:rPr>
        <w:drawing>
          <wp:inline distT="0" distB="0" distL="0" distR="0" wp14:anchorId="47F0ECD0" wp14:editId="00B9BA5D">
            <wp:extent cx="384531" cy="318230"/>
            <wp:effectExtent l="0" t="0" r="0" b="5715"/>
            <wp:docPr id="8" name="Picture 5" descr="banner_s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banner_st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82" cy="36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 xml:space="preserve">      </w:t>
      </w:r>
      <w:r w:rsidR="00E47125">
        <w:t xml:space="preserve"> </w:t>
      </w:r>
      <w:r w:rsidRPr="00836BFA">
        <w:rPr>
          <w:noProof/>
        </w:rPr>
        <w:drawing>
          <wp:inline distT="0" distB="0" distL="0" distR="0" wp14:anchorId="3B6257D8" wp14:editId="46D0D867">
            <wp:extent cx="539087" cy="217170"/>
            <wp:effectExtent l="0" t="0" r="0" b="0"/>
            <wp:docPr id="439" name="Picture 6" descr="Centrul National de Evaluare si Promovare a Starii de Sana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Centrul National de Evaluare si Promovare a Starii de Sanatat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90" cy="223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7125">
        <w:t xml:space="preserve">      </w:t>
      </w:r>
      <w:r w:rsidR="00E47125">
        <w:rPr>
          <w:sz w:val="8"/>
          <w:szCs w:val="8"/>
        </w:rPr>
        <w:t xml:space="preserve">  </w:t>
      </w:r>
      <w:r>
        <w:rPr>
          <w:sz w:val="8"/>
          <w:szCs w:val="8"/>
        </w:rPr>
        <w:t xml:space="preserve">              </w:t>
      </w:r>
      <w:r w:rsidR="00E47125" w:rsidRPr="00E53946">
        <w:rPr>
          <w:sz w:val="8"/>
          <w:szCs w:val="8"/>
        </w:rPr>
        <w:t xml:space="preserve">                              </w:t>
      </w:r>
      <w:r w:rsidR="00CF2513">
        <w:rPr>
          <w:sz w:val="8"/>
          <w:szCs w:val="8"/>
        </w:rPr>
        <w:t xml:space="preserve">     </w:t>
      </w:r>
      <w:r w:rsidR="00E47125" w:rsidRPr="00E53946">
        <w:rPr>
          <w:sz w:val="8"/>
          <w:szCs w:val="8"/>
        </w:rPr>
        <w:t xml:space="preserve">   </w:t>
      </w:r>
      <w:r w:rsidR="00CF2513" w:rsidRPr="00312571">
        <w:rPr>
          <w:noProof/>
        </w:rPr>
        <w:drawing>
          <wp:inline distT="0" distB="0" distL="0" distR="0" wp14:anchorId="3ACE8FB9" wp14:editId="216C7377">
            <wp:extent cx="551815" cy="304800"/>
            <wp:effectExtent l="0" t="0" r="0" b="0"/>
            <wp:docPr id="441" name="Picture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13" cy="30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7125" w:rsidRPr="00E53946">
        <w:rPr>
          <w:sz w:val="8"/>
          <w:szCs w:val="8"/>
        </w:rPr>
        <w:t xml:space="preserve"> </w:t>
      </w:r>
      <w:r w:rsidR="00E47125">
        <w:rPr>
          <w:sz w:val="8"/>
          <w:szCs w:val="8"/>
        </w:rPr>
        <w:t xml:space="preserve">                                              </w:t>
      </w:r>
      <w:r w:rsidR="00E47125" w:rsidRPr="00E53946">
        <w:rPr>
          <w:sz w:val="8"/>
          <w:szCs w:val="8"/>
        </w:rPr>
        <w:t xml:space="preserve">    </w:t>
      </w:r>
      <w:r>
        <w:rPr>
          <w:sz w:val="8"/>
          <w:szCs w:val="8"/>
        </w:rPr>
        <w:t xml:space="preserve"> </w:t>
      </w:r>
      <w:r>
        <w:rPr>
          <w:sz w:val="10"/>
          <w:szCs w:val="10"/>
        </w:rPr>
        <w:t>MINISTERUL</w:t>
      </w:r>
      <w:r w:rsidR="00E47125" w:rsidRPr="00E47125">
        <w:rPr>
          <w:sz w:val="10"/>
          <w:szCs w:val="10"/>
        </w:rPr>
        <w:t xml:space="preserve">SĂNĂTĂȚII                              </w:t>
      </w:r>
      <w:r w:rsidR="00CF2513">
        <w:rPr>
          <w:sz w:val="10"/>
          <w:szCs w:val="10"/>
        </w:rPr>
        <w:t xml:space="preserve">                </w:t>
      </w:r>
      <w:r w:rsidR="00E47125">
        <w:rPr>
          <w:sz w:val="10"/>
          <w:szCs w:val="10"/>
        </w:rPr>
        <w:t xml:space="preserve"> </w:t>
      </w:r>
      <w:r w:rsidR="00E47125" w:rsidRPr="00E47125">
        <w:rPr>
          <w:sz w:val="10"/>
          <w:szCs w:val="10"/>
        </w:rPr>
        <w:t xml:space="preserve">INSTITUTUL NAȚIONAL  </w:t>
      </w:r>
      <w:r w:rsidR="00CF2513">
        <w:rPr>
          <w:sz w:val="10"/>
          <w:szCs w:val="10"/>
        </w:rPr>
        <w:t xml:space="preserve">       </w:t>
      </w:r>
      <w:r>
        <w:rPr>
          <w:sz w:val="10"/>
          <w:szCs w:val="10"/>
        </w:rPr>
        <w:t>CENTRUL REGIONAL DE</w:t>
      </w:r>
      <w:r w:rsidR="00CF2513">
        <w:rPr>
          <w:sz w:val="10"/>
          <w:szCs w:val="10"/>
        </w:rPr>
        <w:t xml:space="preserve">                                 DSP</w:t>
      </w:r>
    </w:p>
    <w:p w:rsidR="00E47125" w:rsidRPr="00E47125" w:rsidRDefault="00E47125" w:rsidP="00E47125">
      <w:pPr>
        <w:pStyle w:val="NoSpacing"/>
        <w:rPr>
          <w:rFonts w:ascii="Times New Roman" w:hAnsi="Times New Roman" w:cs="Times New Roman"/>
          <w:sz w:val="10"/>
          <w:szCs w:val="10"/>
        </w:rPr>
      </w:pPr>
      <w:r w:rsidRPr="00E47125">
        <w:rPr>
          <w:sz w:val="10"/>
          <w:szCs w:val="10"/>
        </w:rPr>
        <w:t xml:space="preserve">                                                            </w:t>
      </w:r>
      <w:r w:rsidR="00CF2513">
        <w:rPr>
          <w:sz w:val="10"/>
          <w:szCs w:val="10"/>
        </w:rPr>
        <w:t xml:space="preserve">               </w:t>
      </w:r>
      <w:r w:rsidRPr="00E47125">
        <w:rPr>
          <w:sz w:val="10"/>
          <w:szCs w:val="10"/>
        </w:rPr>
        <w:t>DE SĂNĂTATE PUBLICĂ</w:t>
      </w:r>
      <w:r w:rsidR="00C836DB">
        <w:rPr>
          <w:sz w:val="10"/>
          <w:szCs w:val="10"/>
        </w:rPr>
        <w:t xml:space="preserve"> </w:t>
      </w:r>
      <w:r w:rsidR="00CF2513">
        <w:rPr>
          <w:sz w:val="10"/>
          <w:szCs w:val="10"/>
        </w:rPr>
        <w:t xml:space="preserve">        </w:t>
      </w:r>
      <w:r w:rsidR="00C836DB">
        <w:rPr>
          <w:sz w:val="10"/>
          <w:szCs w:val="10"/>
        </w:rPr>
        <w:t xml:space="preserve"> SĂNĂTATE PUBLICĂ SIBIU</w:t>
      </w:r>
    </w:p>
    <w:p w:rsidR="00E47125" w:rsidRPr="00A97A2E" w:rsidRDefault="00C34F1D" w:rsidP="00C836DB">
      <w:pPr>
        <w:pStyle w:val="NoSpacing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FE0601" wp14:editId="2A391687">
                <wp:simplePos x="0" y="0"/>
                <wp:positionH relativeFrom="column">
                  <wp:posOffset>-10712</wp:posOffset>
                </wp:positionH>
                <wp:positionV relativeFrom="paragraph">
                  <wp:posOffset>734060</wp:posOffset>
                </wp:positionV>
                <wp:extent cx="3172570" cy="1403985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5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F1D" w:rsidRPr="00C34F1D" w:rsidRDefault="00C34F1D" w:rsidP="00C34F1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4F6228" w:themeColor="accent3" w:themeShade="80"/>
                                <w:sz w:val="24"/>
                                <w:lang w:val="ro-RO"/>
                              </w:rPr>
                            </w:pPr>
                            <w:r w:rsidRPr="00C34F1D">
                              <w:rPr>
                                <w:rFonts w:ascii="Comic Sans MS" w:hAnsi="Comic Sans MS"/>
                                <w:b/>
                                <w:color w:val="4F6228" w:themeColor="accent3" w:themeShade="80"/>
                                <w:sz w:val="24"/>
                                <w:lang w:val="ro-RO"/>
                              </w:rPr>
                              <w:t>ÎMPREUNĂ ÎMPOTRIVA OBEZITĂȚII</w:t>
                            </w:r>
                          </w:p>
                          <w:p w:rsidR="00C34F1D" w:rsidRPr="00C34F1D" w:rsidRDefault="00C34F1D" w:rsidP="00C34F1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4F6228" w:themeColor="accent3" w:themeShade="80"/>
                                <w:sz w:val="24"/>
                                <w:lang w:val="ro-RO"/>
                              </w:rPr>
                            </w:pPr>
                            <w:r w:rsidRPr="00C34F1D">
                              <w:rPr>
                                <w:rFonts w:ascii="Comic Sans MS" w:hAnsi="Comic Sans MS"/>
                                <w:b/>
                                <w:color w:val="4F6228" w:themeColor="accent3" w:themeShade="80"/>
                                <w:sz w:val="24"/>
                                <w:lang w:val="ro-RO"/>
                              </w:rPr>
                              <w:t>18 MAI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FE06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5pt;margin-top:57.8pt;width:249.8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" filled="f" stroked="f">
                <v:textbox style="mso-fit-shape-to-text:t">
                  <w:txbxContent>
                    <w:p w:rsidR="00C34F1D" w:rsidRPr="00C34F1D" w:rsidRDefault="00C34F1D" w:rsidP="00C34F1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4F6228" w:themeColor="accent3" w:themeShade="80"/>
                          <w:sz w:val="24"/>
                          <w:lang w:val="ro-RO"/>
                        </w:rPr>
                      </w:pPr>
                      <w:r w:rsidRPr="00C34F1D">
                        <w:rPr>
                          <w:rFonts w:ascii="Comic Sans MS" w:hAnsi="Comic Sans MS"/>
                          <w:b/>
                          <w:color w:val="4F6228" w:themeColor="accent3" w:themeShade="80"/>
                          <w:sz w:val="24"/>
                          <w:lang w:val="ro-RO"/>
                        </w:rPr>
                        <w:t>ÎMPREUNĂ ÎMPOTRIVA OBEZITĂȚII</w:t>
                      </w:r>
                    </w:p>
                    <w:p w:rsidR="00C34F1D" w:rsidRPr="00C34F1D" w:rsidRDefault="00C34F1D" w:rsidP="00C34F1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4F6228" w:themeColor="accent3" w:themeShade="80"/>
                          <w:sz w:val="24"/>
                          <w:lang w:val="ro-RO"/>
                        </w:rPr>
                      </w:pPr>
                      <w:r w:rsidRPr="00C34F1D">
                        <w:rPr>
                          <w:rFonts w:ascii="Comic Sans MS" w:hAnsi="Comic Sans MS"/>
                          <w:b/>
                          <w:color w:val="4F6228" w:themeColor="accent3" w:themeShade="80"/>
                          <w:sz w:val="24"/>
                          <w:lang w:val="ro-RO"/>
                        </w:rPr>
                        <w:t>18 MAI 2019</w:t>
                      </w:r>
                    </w:p>
                  </w:txbxContent>
                </v:textbox>
              </v:shape>
            </w:pict>
          </mc:Fallback>
        </mc:AlternateContent>
      </w:r>
      <w:r w:rsidR="00AA1532">
        <w:rPr>
          <w:rFonts w:ascii="Times New Roman" w:hAnsi="Times New Roman" w:cs="Times New Roman"/>
          <w:sz w:val="24"/>
          <w:szCs w:val="24"/>
        </w:rPr>
        <w:pict>
          <v:shape id="_x0000_i1027" type="#_x0000_t75" style="width:247.2pt;height:138.45pt">
            <v:imagedata r:id="rId16" o:title="images2222"/>
          </v:shape>
        </w:pict>
      </w:r>
      <w:r w:rsidR="00E4712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47125">
        <w:rPr>
          <w:sz w:val="8"/>
          <w:szCs w:val="8"/>
        </w:rPr>
        <w:t xml:space="preserve">                                                         </w:t>
      </w:r>
      <w:r w:rsidR="00A97A2E">
        <w:rPr>
          <w:sz w:val="8"/>
          <w:szCs w:val="8"/>
        </w:rPr>
        <w:t xml:space="preserve">                      </w:t>
      </w:r>
    </w:p>
    <w:p w:rsidR="008B7856" w:rsidRDefault="008B7856" w:rsidP="003C3895">
      <w:pPr>
        <w:jc w:val="center"/>
      </w:pPr>
    </w:p>
    <w:p w:rsidR="000D5E21" w:rsidRPr="00964FFB" w:rsidRDefault="000D5E21" w:rsidP="000D5E21">
      <w:pPr>
        <w:jc w:val="center"/>
        <w:rPr>
          <w:b/>
          <w:color w:val="0624BA"/>
          <w:sz w:val="48"/>
          <w:szCs w:val="4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5E21" w:rsidRPr="00C34F1D" w:rsidRDefault="000D5E21" w:rsidP="000D5E21">
      <w:pPr>
        <w:jc w:val="center"/>
        <w:rPr>
          <w:b/>
          <w:color w:val="76923C" w:themeColor="accent3" w:themeShade="BF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4F1D">
        <w:rPr>
          <w:b/>
          <w:color w:val="76923C" w:themeColor="accent3" w:themeShade="BF"/>
          <w:sz w:val="48"/>
          <w:szCs w:val="4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ZIUA EUROPEANĂ ÎMPOTRIVA OBEZITĂȚII</w:t>
      </w:r>
      <w:r w:rsidRPr="00C34F1D">
        <w:rPr>
          <w:b/>
          <w:color w:val="76923C" w:themeColor="accent3" w:themeShade="BF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0D5E21" w:rsidRPr="00C34F1D" w:rsidRDefault="000D5E21" w:rsidP="000D5E21">
      <w:pPr>
        <w:jc w:val="center"/>
        <w:rPr>
          <w:b/>
          <w:color w:val="76923C" w:themeColor="accent3" w:themeShade="BF"/>
          <w:sz w:val="28"/>
          <w:szCs w:val="28"/>
        </w:rPr>
      </w:pPr>
      <w:r w:rsidRPr="00C34F1D">
        <w:rPr>
          <w:b/>
          <w:color w:val="76923C" w:themeColor="accent3" w:themeShade="BF"/>
          <w:sz w:val="28"/>
          <w:szCs w:val="28"/>
        </w:rPr>
        <w:t xml:space="preserve"> </w:t>
      </w:r>
    </w:p>
    <w:p w:rsidR="000D5E21" w:rsidRPr="00C34F1D" w:rsidRDefault="000D5E21" w:rsidP="000D5E21">
      <w:pPr>
        <w:jc w:val="center"/>
        <w:rPr>
          <w:b/>
          <w:color w:val="76923C" w:themeColor="accent3" w:themeShade="BF"/>
          <w:sz w:val="32"/>
          <w:szCs w:val="32"/>
          <w:lang w:val="fr-FR"/>
        </w:rPr>
      </w:pPr>
      <w:proofErr w:type="spellStart"/>
      <w:r w:rsidRPr="00C34F1D">
        <w:rPr>
          <w:b/>
          <w:i/>
          <w:color w:val="76923C" w:themeColor="accent3" w:themeShade="BF"/>
          <w:sz w:val="32"/>
          <w:szCs w:val="32"/>
        </w:rPr>
        <w:t>Să</w:t>
      </w:r>
      <w:proofErr w:type="spellEnd"/>
      <w:r w:rsidRPr="00C34F1D">
        <w:rPr>
          <w:b/>
          <w:i/>
          <w:color w:val="76923C" w:themeColor="accent3" w:themeShade="BF"/>
          <w:sz w:val="32"/>
          <w:szCs w:val="32"/>
        </w:rPr>
        <w:t xml:space="preserve"> </w:t>
      </w:r>
      <w:proofErr w:type="spellStart"/>
      <w:r w:rsidRPr="00C34F1D">
        <w:rPr>
          <w:b/>
          <w:i/>
          <w:color w:val="76923C" w:themeColor="accent3" w:themeShade="BF"/>
          <w:sz w:val="32"/>
          <w:szCs w:val="32"/>
        </w:rPr>
        <w:t>acționăm</w:t>
      </w:r>
      <w:proofErr w:type="spellEnd"/>
      <w:r w:rsidRPr="00C34F1D">
        <w:rPr>
          <w:b/>
          <w:i/>
          <w:color w:val="76923C" w:themeColor="accent3" w:themeShade="BF"/>
          <w:sz w:val="32"/>
          <w:szCs w:val="32"/>
        </w:rPr>
        <w:t xml:space="preserve"> </w:t>
      </w:r>
      <w:proofErr w:type="spellStart"/>
      <w:r w:rsidRPr="00C34F1D">
        <w:rPr>
          <w:b/>
          <w:i/>
          <w:color w:val="76923C" w:themeColor="accent3" w:themeShade="BF"/>
          <w:sz w:val="32"/>
          <w:szCs w:val="32"/>
        </w:rPr>
        <w:t>pentru</w:t>
      </w:r>
      <w:proofErr w:type="spellEnd"/>
      <w:r w:rsidRPr="00C34F1D">
        <w:rPr>
          <w:b/>
          <w:i/>
          <w:color w:val="76923C" w:themeColor="accent3" w:themeShade="BF"/>
          <w:sz w:val="32"/>
          <w:szCs w:val="32"/>
        </w:rPr>
        <w:t xml:space="preserve"> </w:t>
      </w:r>
      <w:proofErr w:type="gramStart"/>
      <w:r w:rsidRPr="00C34F1D">
        <w:rPr>
          <w:b/>
          <w:i/>
          <w:color w:val="76923C" w:themeColor="accent3" w:themeShade="BF"/>
          <w:sz w:val="32"/>
          <w:szCs w:val="32"/>
        </w:rPr>
        <w:t>un</w:t>
      </w:r>
      <w:proofErr w:type="gramEnd"/>
      <w:r w:rsidRPr="00C34F1D">
        <w:rPr>
          <w:b/>
          <w:i/>
          <w:color w:val="76923C" w:themeColor="accent3" w:themeShade="BF"/>
          <w:sz w:val="32"/>
          <w:szCs w:val="32"/>
        </w:rPr>
        <w:t xml:space="preserve"> </w:t>
      </w:r>
      <w:proofErr w:type="spellStart"/>
      <w:r w:rsidRPr="00C34F1D">
        <w:rPr>
          <w:b/>
          <w:i/>
          <w:color w:val="76923C" w:themeColor="accent3" w:themeShade="BF"/>
          <w:sz w:val="32"/>
          <w:szCs w:val="32"/>
        </w:rPr>
        <w:t>viitor</w:t>
      </w:r>
      <w:proofErr w:type="spellEnd"/>
      <w:r w:rsidRPr="00C34F1D">
        <w:rPr>
          <w:b/>
          <w:i/>
          <w:color w:val="76923C" w:themeColor="accent3" w:themeShade="BF"/>
          <w:sz w:val="32"/>
          <w:szCs w:val="32"/>
        </w:rPr>
        <w:t xml:space="preserve"> </w:t>
      </w:r>
      <w:proofErr w:type="spellStart"/>
      <w:r w:rsidRPr="00C34F1D">
        <w:rPr>
          <w:b/>
          <w:i/>
          <w:color w:val="76923C" w:themeColor="accent3" w:themeShade="BF"/>
          <w:sz w:val="32"/>
          <w:szCs w:val="32"/>
        </w:rPr>
        <w:t>mai</w:t>
      </w:r>
      <w:proofErr w:type="spellEnd"/>
      <w:r w:rsidRPr="00C34F1D">
        <w:rPr>
          <w:b/>
          <w:i/>
          <w:color w:val="76923C" w:themeColor="accent3" w:themeShade="BF"/>
          <w:sz w:val="32"/>
          <w:szCs w:val="32"/>
        </w:rPr>
        <w:t xml:space="preserve"> </w:t>
      </w:r>
      <w:proofErr w:type="spellStart"/>
      <w:r w:rsidR="008926CA" w:rsidRPr="00C34F1D">
        <w:rPr>
          <w:b/>
          <w:i/>
          <w:color w:val="76923C" w:themeColor="accent3" w:themeShade="BF"/>
          <w:sz w:val="32"/>
          <w:szCs w:val="32"/>
        </w:rPr>
        <w:t>sănătos</w:t>
      </w:r>
      <w:proofErr w:type="spellEnd"/>
      <w:r w:rsidR="008926CA" w:rsidRPr="00C34F1D">
        <w:rPr>
          <w:b/>
          <w:i/>
          <w:color w:val="76923C" w:themeColor="accent3" w:themeShade="BF"/>
          <w:sz w:val="32"/>
          <w:szCs w:val="32"/>
        </w:rPr>
        <w:t xml:space="preserve">! </w:t>
      </w:r>
    </w:p>
    <w:p w:rsidR="008B7856" w:rsidRPr="00C34F1D" w:rsidRDefault="008B7856" w:rsidP="00AF37F9">
      <w:pPr>
        <w:rPr>
          <w:color w:val="76923C" w:themeColor="accent3" w:themeShade="BF"/>
        </w:rPr>
      </w:pPr>
    </w:p>
    <w:p w:rsidR="00485F23" w:rsidRPr="00C34F1D" w:rsidRDefault="00485F23" w:rsidP="00AF37F9">
      <w:pPr>
        <w:rPr>
          <w:color w:val="76923C" w:themeColor="accent3" w:themeShade="BF"/>
        </w:rPr>
      </w:pPr>
    </w:p>
    <w:p w:rsidR="00955682" w:rsidRPr="00C34F1D" w:rsidRDefault="00955682" w:rsidP="00955682">
      <w:pPr>
        <w:jc w:val="center"/>
        <w:rPr>
          <w:color w:val="76923C" w:themeColor="accent3" w:themeShade="BF"/>
          <w:sz w:val="36"/>
          <w:szCs w:val="36"/>
        </w:rPr>
      </w:pPr>
      <w:r w:rsidRPr="00C34F1D">
        <w:rPr>
          <w:b/>
          <w:color w:val="76923C" w:themeColor="accent3" w:themeShade="BF"/>
          <w:sz w:val="36"/>
          <w:szCs w:val="36"/>
        </w:rPr>
        <w:t xml:space="preserve">18 </w:t>
      </w:r>
      <w:proofErr w:type="spellStart"/>
      <w:r w:rsidRPr="00C34F1D">
        <w:rPr>
          <w:b/>
          <w:color w:val="76923C" w:themeColor="accent3" w:themeShade="BF"/>
          <w:sz w:val="36"/>
          <w:szCs w:val="36"/>
        </w:rPr>
        <w:t>mai</w:t>
      </w:r>
      <w:proofErr w:type="spellEnd"/>
      <w:r w:rsidRPr="00C34F1D">
        <w:rPr>
          <w:b/>
          <w:color w:val="76923C" w:themeColor="accent3" w:themeShade="BF"/>
          <w:sz w:val="36"/>
          <w:szCs w:val="36"/>
        </w:rPr>
        <w:t xml:space="preserve"> 2019</w:t>
      </w:r>
    </w:p>
    <w:p w:rsidR="008B7856" w:rsidRPr="0041286C" w:rsidRDefault="008B7856" w:rsidP="00AF37F9">
      <w:pPr>
        <w:rPr>
          <w:color w:val="00B050"/>
        </w:rPr>
      </w:pPr>
    </w:p>
    <w:p w:rsidR="008B7856" w:rsidRDefault="008B7856" w:rsidP="00AF37F9"/>
    <w:p w:rsidR="008B7856" w:rsidRDefault="00101F7B" w:rsidP="00101F7B">
      <w:pPr>
        <w:jc w:val="center"/>
      </w:pPr>
      <w:r w:rsidRPr="00320917">
        <w:rPr>
          <w:b/>
          <w:i/>
          <w:sz w:val="20"/>
          <w:szCs w:val="20"/>
          <w:lang w:val="ro-RO"/>
        </w:rPr>
        <w:t xml:space="preserve">Acest pliant se adresează persoanelor cu surplus de greutate și </w:t>
      </w:r>
      <w:r>
        <w:rPr>
          <w:b/>
          <w:i/>
          <w:sz w:val="20"/>
          <w:szCs w:val="20"/>
          <w:lang w:val="ro-RO"/>
        </w:rPr>
        <w:t>aparținătorilor</w:t>
      </w:r>
      <w:r w:rsidRPr="00320917">
        <w:rPr>
          <w:b/>
          <w:i/>
          <w:sz w:val="20"/>
          <w:szCs w:val="20"/>
          <w:lang w:val="ro-RO"/>
        </w:rPr>
        <w:t xml:space="preserve"> lor</w:t>
      </w:r>
    </w:p>
    <w:sectPr w:rsidR="008B7856" w:rsidSect="00BE756A">
      <w:type w:val="continuous"/>
      <w:pgSz w:w="16840" w:h="11907" w:orient="landscape" w:code="9"/>
      <w:pgMar w:top="284" w:right="284" w:bottom="284" w:left="284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pt;height:11.2pt" o:bullet="t">
        <v:imagedata r:id="rId1" o:title="mso3908"/>
      </v:shape>
    </w:pict>
  </w:numPicBullet>
  <w:abstractNum w:abstractNumId="0" w15:restartNumberingAfterBreak="0">
    <w:nsid w:val="050002F4"/>
    <w:multiLevelType w:val="hybridMultilevel"/>
    <w:tmpl w:val="F4D2DC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0902"/>
    <w:multiLevelType w:val="hybridMultilevel"/>
    <w:tmpl w:val="6C821FD6"/>
    <w:lvl w:ilvl="0" w:tplc="A4B2A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E69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64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123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EA2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5CA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3AA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5EA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2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F47FEB"/>
    <w:multiLevelType w:val="hybridMultilevel"/>
    <w:tmpl w:val="38EE4F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4693E"/>
    <w:multiLevelType w:val="hybridMultilevel"/>
    <w:tmpl w:val="7CE04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C194D"/>
    <w:multiLevelType w:val="hybridMultilevel"/>
    <w:tmpl w:val="28E8C8C6"/>
    <w:lvl w:ilvl="0" w:tplc="2CC04930">
      <w:start w:val="1"/>
      <w:numFmt w:val="decimal"/>
      <w:lvlText w:val="%1."/>
      <w:lvlJc w:val="left"/>
      <w:pPr>
        <w:ind w:left="502" w:hanging="360"/>
      </w:pPr>
      <w:rPr>
        <w:rFonts w:hint="default"/>
        <w:color w:val="E36C0A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B828DB"/>
    <w:multiLevelType w:val="hybridMultilevel"/>
    <w:tmpl w:val="3DB0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E3B20"/>
    <w:multiLevelType w:val="hybridMultilevel"/>
    <w:tmpl w:val="30D4B874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29A2D5A"/>
    <w:multiLevelType w:val="hybridMultilevel"/>
    <w:tmpl w:val="AEFEF488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7742D38"/>
    <w:multiLevelType w:val="hybridMultilevel"/>
    <w:tmpl w:val="3C760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724AF"/>
    <w:multiLevelType w:val="hybridMultilevel"/>
    <w:tmpl w:val="00F4ED68"/>
    <w:lvl w:ilvl="0" w:tplc="9940B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C26B2"/>
    <w:multiLevelType w:val="hybridMultilevel"/>
    <w:tmpl w:val="4C0026CA"/>
    <w:lvl w:ilvl="0" w:tplc="041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EC2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AE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80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A1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547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38D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69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4D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7DE5DFF"/>
    <w:multiLevelType w:val="hybridMultilevel"/>
    <w:tmpl w:val="706E9312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7801ACB"/>
    <w:multiLevelType w:val="hybridMultilevel"/>
    <w:tmpl w:val="49F0FB82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B047FF4"/>
    <w:multiLevelType w:val="hybridMultilevel"/>
    <w:tmpl w:val="F51E280C"/>
    <w:lvl w:ilvl="0" w:tplc="CD362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D49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48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A8E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BE4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A60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AE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425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E8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CC826E0"/>
    <w:multiLevelType w:val="hybridMultilevel"/>
    <w:tmpl w:val="2412490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94852"/>
    <w:multiLevelType w:val="hybridMultilevel"/>
    <w:tmpl w:val="8E0844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71E46"/>
    <w:multiLevelType w:val="hybridMultilevel"/>
    <w:tmpl w:val="59BE265E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76155B5A"/>
    <w:multiLevelType w:val="hybridMultilevel"/>
    <w:tmpl w:val="88C0B038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7"/>
  </w:num>
  <w:num w:numId="5">
    <w:abstractNumId w:val="17"/>
  </w:num>
  <w:num w:numId="6">
    <w:abstractNumId w:val="6"/>
  </w:num>
  <w:num w:numId="7">
    <w:abstractNumId w:val="15"/>
  </w:num>
  <w:num w:numId="8">
    <w:abstractNumId w:val="3"/>
  </w:num>
  <w:num w:numId="9">
    <w:abstractNumId w:val="14"/>
  </w:num>
  <w:num w:numId="10">
    <w:abstractNumId w:val="16"/>
  </w:num>
  <w:num w:numId="11">
    <w:abstractNumId w:val="9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8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4B"/>
    <w:rsid w:val="000258DA"/>
    <w:rsid w:val="00045AA9"/>
    <w:rsid w:val="000A1E18"/>
    <w:rsid w:val="000D5E21"/>
    <w:rsid w:val="000F2642"/>
    <w:rsid w:val="000F7B57"/>
    <w:rsid w:val="00101E6D"/>
    <w:rsid w:val="00101F7B"/>
    <w:rsid w:val="001067E5"/>
    <w:rsid w:val="001102BF"/>
    <w:rsid w:val="00112437"/>
    <w:rsid w:val="0012246A"/>
    <w:rsid w:val="00123022"/>
    <w:rsid w:val="001238DE"/>
    <w:rsid w:val="001261C6"/>
    <w:rsid w:val="00135910"/>
    <w:rsid w:val="0014316C"/>
    <w:rsid w:val="00147DE3"/>
    <w:rsid w:val="001548E7"/>
    <w:rsid w:val="001A0239"/>
    <w:rsid w:val="001A14AF"/>
    <w:rsid w:val="001A1596"/>
    <w:rsid w:val="001A67E5"/>
    <w:rsid w:val="001D370D"/>
    <w:rsid w:val="001D70A4"/>
    <w:rsid w:val="001F3905"/>
    <w:rsid w:val="00226A96"/>
    <w:rsid w:val="002345CA"/>
    <w:rsid w:val="00280137"/>
    <w:rsid w:val="002A7685"/>
    <w:rsid w:val="002B655C"/>
    <w:rsid w:val="002D208B"/>
    <w:rsid w:val="002D2C87"/>
    <w:rsid w:val="002D5117"/>
    <w:rsid w:val="002E389A"/>
    <w:rsid w:val="002F600D"/>
    <w:rsid w:val="00312571"/>
    <w:rsid w:val="00320917"/>
    <w:rsid w:val="0036496D"/>
    <w:rsid w:val="00377954"/>
    <w:rsid w:val="00386EB0"/>
    <w:rsid w:val="00387D16"/>
    <w:rsid w:val="00390E17"/>
    <w:rsid w:val="0039607D"/>
    <w:rsid w:val="003A3529"/>
    <w:rsid w:val="003C3895"/>
    <w:rsid w:val="0041286C"/>
    <w:rsid w:val="00422098"/>
    <w:rsid w:val="00466583"/>
    <w:rsid w:val="00485F23"/>
    <w:rsid w:val="00490DD5"/>
    <w:rsid w:val="004A4D00"/>
    <w:rsid w:val="004E07FC"/>
    <w:rsid w:val="004E64CA"/>
    <w:rsid w:val="004F2C34"/>
    <w:rsid w:val="004F3F30"/>
    <w:rsid w:val="00522890"/>
    <w:rsid w:val="00554634"/>
    <w:rsid w:val="00570677"/>
    <w:rsid w:val="00593BEA"/>
    <w:rsid w:val="005F3848"/>
    <w:rsid w:val="0061137C"/>
    <w:rsid w:val="00620D4D"/>
    <w:rsid w:val="00622272"/>
    <w:rsid w:val="00631C43"/>
    <w:rsid w:val="0065349A"/>
    <w:rsid w:val="00660641"/>
    <w:rsid w:val="006B777B"/>
    <w:rsid w:val="006C780F"/>
    <w:rsid w:val="006E4725"/>
    <w:rsid w:val="0073722E"/>
    <w:rsid w:val="0074231B"/>
    <w:rsid w:val="00746204"/>
    <w:rsid w:val="00755A95"/>
    <w:rsid w:val="007A1953"/>
    <w:rsid w:val="007D130C"/>
    <w:rsid w:val="007E1309"/>
    <w:rsid w:val="00802934"/>
    <w:rsid w:val="00803DA2"/>
    <w:rsid w:val="008107B6"/>
    <w:rsid w:val="00871F56"/>
    <w:rsid w:val="00877CB2"/>
    <w:rsid w:val="008926CA"/>
    <w:rsid w:val="008A49AB"/>
    <w:rsid w:val="008B523B"/>
    <w:rsid w:val="008B7856"/>
    <w:rsid w:val="008B7A5C"/>
    <w:rsid w:val="008C2DB8"/>
    <w:rsid w:val="008D670F"/>
    <w:rsid w:val="008E5020"/>
    <w:rsid w:val="009019F0"/>
    <w:rsid w:val="00922203"/>
    <w:rsid w:val="00925E1B"/>
    <w:rsid w:val="00931199"/>
    <w:rsid w:val="009322F2"/>
    <w:rsid w:val="00933B23"/>
    <w:rsid w:val="00955682"/>
    <w:rsid w:val="00964FFB"/>
    <w:rsid w:val="009771DB"/>
    <w:rsid w:val="00986E24"/>
    <w:rsid w:val="00997CEC"/>
    <w:rsid w:val="009B3923"/>
    <w:rsid w:val="009C6288"/>
    <w:rsid w:val="009D29B1"/>
    <w:rsid w:val="00A1265A"/>
    <w:rsid w:val="00A4174F"/>
    <w:rsid w:val="00A52972"/>
    <w:rsid w:val="00A53B56"/>
    <w:rsid w:val="00A56F0A"/>
    <w:rsid w:val="00A67F30"/>
    <w:rsid w:val="00A75C22"/>
    <w:rsid w:val="00A817DB"/>
    <w:rsid w:val="00A90B1D"/>
    <w:rsid w:val="00A97A2E"/>
    <w:rsid w:val="00AA1532"/>
    <w:rsid w:val="00AA74E7"/>
    <w:rsid w:val="00AB5022"/>
    <w:rsid w:val="00AE24D9"/>
    <w:rsid w:val="00AF37F9"/>
    <w:rsid w:val="00AF7E12"/>
    <w:rsid w:val="00B141D2"/>
    <w:rsid w:val="00B6222E"/>
    <w:rsid w:val="00B863E8"/>
    <w:rsid w:val="00BB1C73"/>
    <w:rsid w:val="00BB31D1"/>
    <w:rsid w:val="00BE756A"/>
    <w:rsid w:val="00BE7724"/>
    <w:rsid w:val="00BF53BD"/>
    <w:rsid w:val="00BF5BBA"/>
    <w:rsid w:val="00BF6C46"/>
    <w:rsid w:val="00C10557"/>
    <w:rsid w:val="00C13051"/>
    <w:rsid w:val="00C1648C"/>
    <w:rsid w:val="00C331E5"/>
    <w:rsid w:val="00C34F1D"/>
    <w:rsid w:val="00C42722"/>
    <w:rsid w:val="00C558A6"/>
    <w:rsid w:val="00C60254"/>
    <w:rsid w:val="00C63660"/>
    <w:rsid w:val="00C71D28"/>
    <w:rsid w:val="00C72ABE"/>
    <w:rsid w:val="00C836DB"/>
    <w:rsid w:val="00C97660"/>
    <w:rsid w:val="00CB1EAE"/>
    <w:rsid w:val="00CB44E1"/>
    <w:rsid w:val="00CB551F"/>
    <w:rsid w:val="00CC6C3C"/>
    <w:rsid w:val="00CF2513"/>
    <w:rsid w:val="00D410B5"/>
    <w:rsid w:val="00D46922"/>
    <w:rsid w:val="00D5242A"/>
    <w:rsid w:val="00D620D0"/>
    <w:rsid w:val="00D67A25"/>
    <w:rsid w:val="00D844D8"/>
    <w:rsid w:val="00D94F4B"/>
    <w:rsid w:val="00DA56BB"/>
    <w:rsid w:val="00DE11B2"/>
    <w:rsid w:val="00DE4C6B"/>
    <w:rsid w:val="00E10BE3"/>
    <w:rsid w:val="00E43237"/>
    <w:rsid w:val="00E46028"/>
    <w:rsid w:val="00E47125"/>
    <w:rsid w:val="00E50803"/>
    <w:rsid w:val="00E5306B"/>
    <w:rsid w:val="00E56E54"/>
    <w:rsid w:val="00E729EB"/>
    <w:rsid w:val="00E934B4"/>
    <w:rsid w:val="00EB5685"/>
    <w:rsid w:val="00EB63B1"/>
    <w:rsid w:val="00EC7562"/>
    <w:rsid w:val="00F1277E"/>
    <w:rsid w:val="00F22BB8"/>
    <w:rsid w:val="00F431B5"/>
    <w:rsid w:val="00F46355"/>
    <w:rsid w:val="00F73315"/>
    <w:rsid w:val="00F742F8"/>
    <w:rsid w:val="00F94DA0"/>
    <w:rsid w:val="00F94E1A"/>
    <w:rsid w:val="00FA0BFA"/>
    <w:rsid w:val="00FA120D"/>
    <w:rsid w:val="00FC00FB"/>
    <w:rsid w:val="00FC12AF"/>
    <w:rsid w:val="00FC2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e1f4f5,#cf9,#cff,#cfc"/>
    </o:shapedefaults>
    <o:shapelayout v:ext="edit">
      <o:idmap v:ext="edit" data="1"/>
    </o:shapelayout>
  </w:shapeDefaults>
  <w:decimalSymbol w:val="."/>
  <w:listSeparator w:val=","/>
  <w15:docId w15:val="{9147DF75-2B2E-405D-BACC-DA7F5780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F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6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1102BF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F742F8"/>
  </w:style>
  <w:style w:type="paragraph" w:styleId="NoSpacing">
    <w:name w:val="No Spacing"/>
    <w:uiPriority w:val="1"/>
    <w:qFormat/>
    <w:rsid w:val="00F74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40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1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6CD66-BB9D-4086-9830-99FC393F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 NR1</dc:creator>
  <cp:lastModifiedBy>LENOVO</cp:lastModifiedBy>
  <cp:revision>37</cp:revision>
  <cp:lastPrinted>2019-05-06T06:11:00Z</cp:lastPrinted>
  <dcterms:created xsi:type="dcterms:W3CDTF">2019-03-04T06:55:00Z</dcterms:created>
  <dcterms:modified xsi:type="dcterms:W3CDTF">2019-05-07T09:01:00Z</dcterms:modified>
</cp:coreProperties>
</file>